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في مكانة الحرّ الرياحي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ينقل المامقانيّ في كتاب «تنقيح المقال» عن الحائريّ، عن السيّد نعمة الله الجزائريّ في كتاب «الأنوار النعمانيّة» قوله: </w:t>
      </w:r>
    </w:p>
    <w:p>
      <w:pPr>
        <w:pStyle w:val="ContentNormal_MS_V1"/>
      </w:pPr>
      <w:r>
        <w:rPr>
          <w:rtl w:val="0"/>
          <w:lang w:val="ar-SA"/>
        </w:rPr>
        <w:t xml:space="preserve">حدّثني جماعة من الثقات أنّ الشاه إسماعيل لمّا ملك بغداد أتى إلى مشهد الحسين عليه‏السلام، ولمّا سمع من بعض الناس الطعن على الحرّ، أتى إلى قبره و أمر بنبشه، فنبشوه فرآه نائماً كهيئته لمّا قُتل، ورأوا على رأسه عصابة مشدودٌ بها رأسه، فأراد الشاه نوّر الله مضجعه أخذ تلك العصابة لما نقل في كتب السير و التواريخ أنّ تلك العصابة هي دسمال الحسين عليه‏ السلام شدّ به رأس الحرّ لمّا أصيب في تلك الواقعة و دُفن على تلك الهيئة، فلمّا حلّوا تلك العصابة جرى الدم حتى امتلأ منه القبر، فلمّا شدّوا عليه تلك العصابة انقطع الدم، فلمّا حلّوها جرى الدم، و كلّما أرادوا أن يعالجوا قطع الدم بغير تلك العصابة لم يمكنهم، فتبيّن لهم حُسن حاله، فأمر فبُني على قبره و عيّنَ له خادماً يخدم قبره.</w:t>
      </w:r>
      <w:r>
        <w:rPr>
          <w:rStyle w:val="FootnoteReference"/>
        </w:rPr>
        <w:footnoteReference w:id="1"/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4" w:history="1">
        <w:r>
          <w:rPr>
            <w:rStyle w:val="Hyperlink"/>
          </w:rPr>
          <w:t xml:space="preserve">معرفة المعاد، ج‏٣، ص: ۱٣٤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5"/>
      <w:footerReference w:type="first" r:id="rId6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BFED711A-6503-4186-9EB8-29965C8E5A7F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3E6FCFE7-A288-43FB-BE3B-2A09A7DC5411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47" name="_x0000_i0159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48" name="_x0000_i01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تنقيح المقال، الطبعة الحجريّة، المجلّد الأول، ص ٢٦۰ و٢٦۱.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hyperlink" Target="https://madrasatalwahy.org/Document/Book/Details/10024/%D9%85%D8%B9%D8%B1%D9%81%D8%A9-%D8%A7%D9%84%D9%85%D8%B9%D8%A7%D8%AF-%D8%AC3?page=1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