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لعمري همُ العشَّاق</w:t>
      </w:r>
    </w:p>
    <w:p>
      <w:pPr>
        <w:pStyle w:val="Besm_MS_V1"/>
      </w:pPr>
      <w:r>
        <w:rPr>
          <w:rtl w:val="0"/>
          <w:lang w:val="ar-SA"/>
        </w:rPr>
        <w:t xml:space="preserve">قصيدة للشاعر العارف ابن الفارض المصري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وهي تصلح بياناً لبعض حالات سيّد الشهداء عليه السلام في يوم عاشوراء.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C9BE7CCB-3FB5-4293-9581-0555110E6D18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B35785DD-C292-403C-999F-492F748A025A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26" name="_x0000_i0126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27" name="_x0000_i012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