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قصيدة وسيلة الفوز والأمان في مدح صاحب الزمان</w:t>
      </w:r>
    </w:p>
    <w:p>
      <w:pPr>
        <w:pStyle w:val="Besm_MS_V1"/>
      </w:pPr>
      <w:r>
        <w:rPr>
          <w:rtl w:val="0"/>
          <w:lang w:val="ar-SA"/>
        </w:rPr>
        <w:t xml:space="preserve">للشيخ البهائي رحمه الله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بِسْمِ اللهِ الرَّحْمَنِ الرَّحِيمِ‏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pStyle w:val="ContentNormal_MS_V1"/>
      </w:pPr>
      <w:r>
        <w:rPr>
          <w:rtl w:val="0"/>
          <w:lang w:val="ar-SA"/>
        </w:rPr>
        <w:t xml:space="preserve">إلى أن يقول: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sectPr w:rsidSect="00541B26">
      <w:footerReference w:type="default" r:id="rId3"/>
      <w:footerReference w:type="first" r:id="rId4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7B55CDCE-6AA4-44FB-B6B3-A7DFCB78C672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0B52F20C-7553-46AA-8042-37AAEE46412D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117" name="_x0000_i0129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1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118" name="_x0000_i013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1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footer" Target="footer1.xml" /><Relationship Id="rId4" Type="http://schemas.openxmlformats.org/officeDocument/2006/relationships/footer" Target="footer2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