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مطابقة القصاص في التوراة و الإنجيل لحكم القرآن‏</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حكم القصاص و الثناء على العفو الواردينِ في القرآن الكريم، هما بعينهما حكم القصاص و العفو اللذان نزلا في شريعة موسى في التوراة، و في شريعة عيسى في الإنجيل على نبيّنا و آله و عليهما الصلاة و السلام، ثمّ احكما و اقِرَّا في القرآن الكريم.</w:t>
      </w:r>
    </w:p>
    <w:p>
      <w:pPr>
        <w:pStyle w:val="ContentNormal_MS_V1"/>
      </w:pPr>
      <w:r>
        <w:rPr>
          <w:rtl w:val="0"/>
          <w:lang w:val="ar-SA"/>
        </w:rPr>
        <w:t xml:space="preserve">أمّا في التوراة، فيقول الله سبحانه:</w:t>
      </w:r>
    </w:p>
    <w:p>
      <w:pPr>
        <w:pStyle w:val="ContentNormal_MS_V1"/>
      </w:pPr>
      <w:r>
        <w:rPr>
          <w:rStyle w:val="Quran_MS_V1"/>
          <w:rtl/>
          <w:lang w:val="ar-SA"/>
        </w:rPr>
        <w:t xml:space="preserve">{إنَّآ أنزَلْنَا التَّوْرَاةَ فِيهَا هُدًى وَ نُورٌ يَحْكُمُ بِهَا النَّبِيُّونَ الذين أسْلَمُوا لِلَّذِينَ هَادُوا وَ الرَّبَّانِيُّونَ وَ الأحْبَارُ بِمَا اسْتُحْفِظُوا مِن كِتَابِ اللهِ وَ كَانُوا عَلَيْهِ شُهَدَآءَ فَلَا تَخْشَوُا النَّاسَ وَاخْشَوْنِ وَ لا تَشْتَرُوا بِآيَاتِي ثَمَنًا قَلِيلاً وَ مَن لَّمْ يَحْكُمْ بِمَآ أنزَلَ اللهُ فَاولَئِكَ هُمُ الْكَافِرُونَ ، وكَتَبْنَا عَلَيْهِمْ فِيهَا أنَّ النَّفْسَ بِالنَّفْسِ و الْعَيْنَ بِالْعَيْنِ وَ الأنفِ بِالأنفِ وَ الاذُنَ بِالاذُنِ وَ السِّنَّ بِالسِّنِّ وَ الْجُرُوحَ قِصَاصٌ فَمَن تَصَدَّقَ بِهِ فَهُوَ كَفَّارَةٌ لَّهُ وَ مَن لَّمْ يَحْكُمْ بِمَآ أنزَلَ‏ اللهُ فَاولَئِكَ هُمُ الظَّالمونَ}.</w:t>
      </w:r>
      <w:r>
        <w:rPr>
          <w:rStyle w:val="FootnoteReference"/>
        </w:rPr>
        <w:footnoteReference w:id="1"/>
      </w:r>
    </w:p>
    <w:p>
      <w:pPr>
        <w:pStyle w:val="ContentNormal_MS_V1"/>
      </w:pPr>
      <w:r>
        <w:rPr>
          <w:rtl w:val="0"/>
          <w:lang w:val="ar-SA"/>
        </w:rPr>
        <w:t xml:space="preserve">ما نراه في الآيتين هو: أنّ حكم القصاص حقّ للمجنى عليه، و العفو -الذي هو أمر مقبول- قد وُضِعَ في اختياره. و قد ورد هذا المطلب بعينه في التوراة المتداولة حاليّاً، حيث جاء في الإصحاح الحادي و العشرين من سفر الخروج من التوراة أنّه:</w:t>
      </w:r>
    </w:p>
    <w:p>
      <w:pPr>
        <w:pStyle w:val="ContentNormal_MS_V1"/>
      </w:pPr>
      <w:r>
        <w:rPr>
          <w:rtl w:val="0"/>
          <w:lang w:val="ar-SA"/>
        </w:rPr>
        <w:t xml:space="preserve"> (۱٢) مَن ضرب إنساناً فمات يُقتل قتلًا.</w:t>
      </w:r>
    </w:p>
    <w:p>
      <w:pPr>
        <w:pStyle w:val="ContentNormal_MS_V1"/>
      </w:pPr>
      <w:r>
        <w:rPr>
          <w:rtl w:val="0"/>
          <w:lang w:val="ar-SA"/>
        </w:rPr>
        <w:t xml:space="preserve"> (۱٣) و لكنّ الذي لم يتعمّد، بل أوقع الله في يده، فأنا أجعل له مكاناً يهرب إليه.</w:t>
      </w:r>
    </w:p>
    <w:p>
      <w:pPr>
        <w:pStyle w:val="ContentNormal_MS_V1"/>
      </w:pPr>
      <w:r>
        <w:rPr>
          <w:rtl w:val="0"/>
          <w:lang w:val="ar-SA"/>
        </w:rPr>
        <w:t xml:space="preserve"> (٢٣) و إن حصلت أذية تعطي نفساً بنفس، و عيناً بعين، و سنّاً بسنّ، و يداً بيد، و رجلاً برجل، وكيّاً بكيّ، و جرحاً بجرح، و رضّاً برضّ. </w:t>
      </w:r>
    </w:p>
    <w:p>
      <w:pPr>
        <w:pStyle w:val="ContentNormal_MS_V1"/>
      </w:pPr>
      <w:r>
        <w:rPr>
          <w:rtl w:val="0"/>
          <w:lang w:val="ar-SA"/>
        </w:rPr>
        <w:t xml:space="preserve">و جاء في الإصحاح الرابع و العشرين من سفر اللاويين أنّه:</w:t>
      </w:r>
    </w:p>
    <w:p>
      <w:pPr>
        <w:pStyle w:val="ContentNormal_MS_V1"/>
      </w:pPr>
      <w:r>
        <w:rPr>
          <w:rtl w:val="0"/>
          <w:lang w:val="ar-SA"/>
        </w:rPr>
        <w:t xml:space="preserve">وإذا أماتَ أحدٌ إنساناً فإنّه يُقتل، و من أمات بهيمةً فإنّه يعوّض عنها نفساً بنفس، و إذا أحدث إنسانٌ في قرينه عيباً، فكما فعل كذلك يُفعل به، كسرٌ بكسر، و عينٌ بعين، و سنٌّ بسنّ، كما أحدث عيباً في الإنسان كذلك يُحدث فيه.</w:t>
      </w:r>
      <w:r>
        <w:rPr>
          <w:rStyle w:val="FootnoteReference"/>
        </w:rPr>
        <w:footnoteReference w:id="2"/>
      </w:r>
    </w:p>
    <w:p>
      <w:pPr>
        <w:pStyle w:val="ContentNormal_MS_V1"/>
      </w:pPr>
      <w:r>
        <w:rPr>
          <w:rtl w:val="0"/>
          <w:lang w:val="ar-SA"/>
        </w:rPr>
        <w:t xml:space="preserve">و أمّا في الإنجيل فلأنّ الله عزّ وجلّ بعد الآيات السابقة يقول:</w:t>
      </w:r>
    </w:p>
    <w:p>
      <w:pPr>
        <w:pStyle w:val="ContentNormal_MS_V1"/>
      </w:pPr>
      <w:r>
        <w:rPr>
          <w:rStyle w:val="Quran_MS_V1"/>
          <w:rtl/>
          <w:lang w:val="ar-SA"/>
        </w:rPr>
        <w:t xml:space="preserve">{وَقَفَّيْنَا عَلَى ءَاثَارِهِم بِعِيسَى ابْنِ مَرْيَمَ مُصَدِّقًا لِّمَا بَيْنَ يَدَيْهِ مِنَ التَّوَرَاةِ وَ ءَاتَيْنَاهُ الإنجِيلَ فِيهِ هُدًى وَ نُورٌ و مصَدِّقًا لِّمَا بَيْنَ يَدَيْهِ مِنَ التَّوْرَاةِ وَ هُدًى وَ مَوْعِظَةً لِّلْمُتَّقِينَ ، وَ لْيَحْكُمْ أهْلُ الإنجِيلِ بِمَآ أنزَلَ اللهُ فِيهِ وَ مَن‏ لَّمْ يَحْكُم بِمَآ أنزَلَ اللهُ فَاولَئِكَ هُمُ الْفَاسِقُونَ}.</w:t>
      </w:r>
      <w:r>
        <w:rPr>
          <w:rStyle w:val="FootnoteReference"/>
        </w:rPr>
        <w:footnoteReference w:id="3"/>
      </w:r>
    </w:p>
    <w:p>
      <w:pPr>
        <w:pStyle w:val="ContentNormal_MS_V1"/>
      </w:pPr>
      <w:r>
        <w:rPr>
          <w:rtl w:val="0"/>
          <w:lang w:val="ar-SA"/>
        </w:rPr>
        <w:t xml:space="preserve">و نرى في هذه الآية أنّ الله سبحانه جعل عيسى مصدّقاً للتوراة وجعل كتابه الإنجيل أيضاً مصدّقاً لها، ويلاحظ أنّ جملة </w:t>
      </w:r>
      <w:r>
        <w:rPr>
          <w:rStyle w:val="Quran_MS_V1"/>
          <w:rtl w:val="0"/>
          <w:lang w:val="ar-SA"/>
        </w:rPr>
        <w:t xml:space="preserve">{مُصَدِّقًا لِّمَا بَيْنَ يَدَيْهِ مِنَّ التَّوْرَاةِ} </w:t>
      </w:r>
      <w:r>
        <w:rPr>
          <w:rtl w:val="0"/>
          <w:lang w:val="ar-SA"/>
        </w:rPr>
        <w:t xml:space="preserve">-التي تكرّرت مرّتين- لم تكن تأكيداً، بل أفادت تصديق الإنجيل للتوراة إضافة إلى تصديق المسيح لها.</w:t>
      </w:r>
    </w:p>
    <w:p>
      <w:pPr>
        <w:pStyle w:val="ContentNormal_MS_V1"/>
      </w:pPr>
      <w:r>
        <w:rPr>
          <w:rtl w:val="0"/>
          <w:lang w:val="ar-SA"/>
        </w:rPr>
        <w:t xml:space="preserve">لذا، فكتاب الإنجيل تابع لشريعة كتاب التوراة، و لم يأت حكم في التوراة إلّا و قد أمضاه الإنجيل و دعا الناس إليه، عدا بعض محرّمات التوراة التي أحلّها المسيح، كما نطق الله سبحانه بلسانه: </w:t>
      </w:r>
      <w:r>
        <w:rPr>
          <w:rStyle w:val="Quran_MS_V1"/>
          <w:rtl/>
          <w:lang w:val="ar-SA"/>
        </w:rPr>
        <w:t xml:space="preserve">{وَ لأُحِلَّ لَكُم بَعْضَ الذي حُرِّمَ عَلَيْكُمْ}.</w:t>
      </w:r>
      <w:r>
        <w:rPr>
          <w:rStyle w:val="FootnoteReference"/>
        </w:rPr>
        <w:footnoteReference w:id="4"/>
      </w:r>
    </w:p>
    <w:p>
      <w:pPr>
        <w:pStyle w:val="ContentNormal_MS_V1"/>
      </w:pPr>
      <w:r>
        <w:rPr>
          <w:rtl w:val="0"/>
          <w:lang w:val="ar-SA"/>
        </w:rPr>
        <w:t xml:space="preserve">و بناءً هذا، فحكم القصاص و العفو من وجهة نظر السيّد المسيح و تعاليم الإنجيل هو نفسه عند موسى و كتاب شريعته: التوراة.</w:t>
      </w:r>
    </w:p>
    <w:p>
      <w:pPr>
        <w:pStyle w:val="ContentNormal_MS_V1"/>
      </w:pPr>
      <w:r>
        <w:rPr>
          <w:rtl w:val="0"/>
          <w:lang w:val="ar-SA"/>
        </w:rPr>
        <w:t xml:space="preserve">و أمّا في القرآن الكريم، فلأنّ الله سبحانه يقول بعد هذه الآية:</w:t>
      </w:r>
    </w:p>
    <w:p>
      <w:pPr>
        <w:pStyle w:val="ContentNormal_MS_V1"/>
      </w:pPr>
      <w:r>
        <w:rPr>
          <w:rStyle w:val="Quran_MS_V1"/>
          <w:rtl/>
          <w:lang w:val="ar-SA"/>
        </w:rPr>
        <w:t xml:space="preserve">{وَ أنزَلْنَآ إليك الْكِتَابَ بِالْحَقِّ مُصَدِّقًا لِّمَا بَيْنَ يَدَيْهِ مِنَ الْكِتَابِ وَ مُهَيْمِنًا عَلَيْهِ فَاحْكُمْ بَيْنَهُم بِمَآ أنزَلَ اللهُ وَ لَا تَتَّبِعْ أهْوَآءَهُمْ عَمَّا جَآءَكَ مِنَ الْحَقِّ لِكُلٍّ جَعَلْنَا مِنكُمْ شِرْعَةً وَ مِنْهَاجًا وَ لَوْ شَآءَ اللهُ لَجَعَلَكُمْ امَّةً وَاحِدَةً وَ لَكِن لِّيَبْلُوَكُمْ في مَا ءَاتَاكُمْ فَاسْتَبِقُوا الْخَيْرَاتِ إلَى اللهِ مَرْجِعُكُمْ جَمِيعًا فَيُنَبِّئُكُم بِمَا كُنتُمْ فِيهِ تَخْتَلِفُونَ ، وَ أنِ احْكُم بَيْنَهُمْ بِمَآ أنزَلَ اللهُ وَ لَا تَتَّبِعْ أهْوَآءَهُمْ وَ احْذَرْهُمْ أن يَفْتِنُوكَ عَن بَعْضِ مَآ أنزَلَ اللهُ إليك فَإن تَوَلَّوْا فَاعْلَمْ أنَّمَا يُرِيدُ اللهُ أن يُصِيبَهُم بِبَعْضِ ذُنُوبِهِمْ وَ إنَّ كَثِيرًا مِّنَ النَّاسِ‏ لَفَاسِقُونَ}.</w:t>
      </w:r>
      <w:r>
        <w:rPr>
          <w:rStyle w:val="FootnoteReference"/>
        </w:rPr>
        <w:footnoteReference w:id="5"/>
      </w:r>
    </w:p>
    <w:p>
      <w:pPr>
        <w:pStyle w:val="ContentNormal_MS_V1"/>
      </w:pPr>
      <w:r>
        <w:rPr>
          <w:rtl w:val="0"/>
          <w:lang w:val="ar-SA"/>
        </w:rPr>
        <w:t xml:space="preserve">و ما بحثناه هنا في حكم القصاص و العفو، طبقاً لدلالة هذه الآيات المباركة، فإنّ شرائع النبيّ محمّد و المسيح و موسى عليهم الصلاة و السلام تتطابق و تتّفق بشأنه، و أنّ ما يُشاهد في الإنجيل المتداول حاليّاً أن «إذا صفعك أحد على خدّك الأيمن فأدر له الأيسر، و إذا أرادوا انتزاع عباءتك فهَبْ لهم معها ثوبك»!</w:t>
      </w:r>
    </w:p>
    <w:p>
      <w:pPr>
        <w:pStyle w:val="ContentNormal_MS_V1"/>
      </w:pPr>
      <w:r>
        <w:rPr>
          <w:rtl w:val="0"/>
          <w:lang w:val="ar-SA"/>
        </w:rPr>
        <w:t xml:space="preserve">إمّا أن تكون عبارات مُختلقة نُسبت للمسيح عليه السلام، أو أنّه عليه السلام أراد أن يمتدح العفو و المسامحة و يثني عليهما، و أن يؤكّد على إعمال صفة الإغضاء وكرم الأخلاق، و أن يُثير في الناس بشكلٍ مبالغٍ فيه مشاعر العفو و المسامحة بعد فرض قانون القصاص و صيرورته بين الناس في حكم المسلّم، و إلّا فإنّ إجبار الناس على هذا الأسلوب من العفو سيؤدّي لا إلى تعطيل قانون القصاص و عدم الاهتمام بأمر العفو فحسب، بل ستصل رغبة المسيحيّين في الانتقام و إذلال الآخرين بقسوة و عدوانيّتهم و تعطّشهم لسفك الدماء إلى الحدّ الذي برزت نماذجه في الحروب الصليبيّة و في الحربين العالميّتينِ، حيث سوّدت فظائعهم و قسوتهم و عنفهم صفحات تأريخ المسيحيّة.</w:t>
      </w:r>
    </w:p>
    <w:p>
      <w:pPr>
        <w:pStyle w:val="Title1_MS_V1"/>
      </w:pPr>
      <w:r>
        <w:rPr>
          <w:rtl w:val="0"/>
          <w:lang w:val="ar-SA"/>
        </w:rPr>
        <w:t xml:space="preserve">انتقاد وِل ديورانت لقانون الإنجيل لعدم فرض القصاص‏</w:t>
      </w:r>
    </w:p>
    <w:p>
      <w:pPr>
        <w:pStyle w:val="ContentNormal_MS_V1"/>
      </w:pPr>
      <w:r>
        <w:rPr>
          <w:rtl w:val="0"/>
          <w:lang w:val="ar-SA"/>
        </w:rPr>
        <w:t xml:space="preserve">يقول وِل ديورانت: لم يدعُ الإسلام إلى مقابلة الإساءة بالإحسان، </w:t>
      </w:r>
      <w:r>
        <w:rPr>
          <w:rStyle w:val="Quran_MS_V1"/>
          <w:rtl w:val="0"/>
          <w:lang w:val="ar-SA"/>
        </w:rPr>
        <w:t xml:space="preserve">{فَمَنِ اعْتَدَى عَلَيْكُمْ فَاعْتَدُوا عَلَيْهِ بِمِثْلِ مَا اعْتَدَى عَلَيْكُمْ}</w:t>
      </w:r>
      <w:r>
        <w:rPr>
          <w:rStyle w:val="FootnoteReference"/>
        </w:rPr>
        <w:footnoteReference w:id="6"/>
      </w:r>
    </w:p>
    <w:p>
      <w:pPr>
        <w:pStyle w:val="ContentNormal_MS_V1"/>
      </w:pPr>
      <w:r>
        <w:rPr>
          <w:rStyle w:val="Quran_MS_V1"/>
          <w:rtl w:val="0"/>
          <w:lang w:val="ar-SA"/>
        </w:rPr>
        <w:t xml:space="preserve">{وَ لِمَنِ انْتَصَرَ بَعْدَ ظُلْمِهِ فَاولَئِكَ مَا عَلَيْهِمْ مِن سَبِيلٍ}</w:t>
      </w:r>
      <w:r>
        <w:rPr>
          <w:rStyle w:val="FootnoteReference"/>
        </w:rPr>
        <w:footnoteReference w:id="7"/>
      </w:r>
      <w:r>
        <w:rPr>
          <w:rtl w:val="0"/>
          <w:lang w:val="ar-SA"/>
        </w:rPr>
        <w:t xml:space="preserve"> تلك أخلاق تليق بالرجال، شبيهة بما جاء في العهد القديم، فهي تؤكّد فضائل الرجولة كما تؤكّد المسيحيّة فضائل الأنوثة، و ليس في التأريخ دين غير دين الإسلام يدعو أتباعه على الدوام إلى أن يكونوا أقوياء، و لم يُفلح في هذه الدعوة دين آخر بقدر ما أفلح فيها الإسلام.</w:t>
      </w:r>
    </w:p>
    <w:p>
      <w:pPr>
        <w:pStyle w:val="ContentNormal_MS_V1"/>
      </w:pPr>
      <w:r>
        <w:rPr>
          <w:rtl w:val="0"/>
          <w:lang w:val="ar-SA"/>
        </w:rPr>
        <w:t xml:space="preserve">و يُستَشَمّ من تعبير ديورانت بأنوثة أخلاقيّة تعاليم الإنجيل رائحة انتقاده لها، و عزى ذلك إلى الضعف و القوى الانفعاليّة، على العكس من الإسلام الذي تصدر قوانينه ناشئة من القوّة و الموقف الراسخ، و قوى الفعل.</w:t>
      </w:r>
    </w:p>
    <w:p>
      <w:pPr>
        <w:pStyle w:val="ContentNormal_MS_V1"/>
      </w:pPr>
      <w:r>
        <w:rPr>
          <w:rtl w:val="0"/>
          <w:lang w:val="ar-SA"/>
        </w:rPr>
        <w:t xml:space="preserve">إنّ عدم تطبيق الحدود و فقدان قانون القصاص عند أتباع الكنيسة في شريعة الإنجيل الفعليّة قد أدّى إلى شيوع الفحشاء و المنكرات و العلاقات المنحرفة بينهم أكثر من شيوعها بين اليهود والأمم الأخرى؛ و لقد كشف شاعر ظريف عن معنى عميق في هذا الشأن و في أمثاله بأبياتٍ أنشدها بأسلوب الملحة و الطريفة، قال:</w:t>
      </w:r>
    </w:p>
    <w:p>
      <w:pPr/>
    </w:p>
    <w:p>
      <w:pPr/>
    </w:p>
    <w:p>
      <w:pPr/>
    </w:p>
    <w:p>
      <w:pPr/>
    </w:p>
    <w:p>
      <w:pPr/>
    </w:p>
    <w:p>
      <w:pPr>
        <w:pStyle w:val="ContentNormal_MS_V1"/>
      </w:pPr>
      <w:r>
        <w:rPr>
          <w:rtl w:val="0"/>
          <w:lang w:val="ar-SA"/>
        </w:rPr>
        <w:t xml:space="preserve">أجل، فتماسك المجتمع الإنسانيّ، و قوام الحضارة البشريّة، و الوصول إلى معارج الحياة إنّما هو في فرض حكم القصاص الذي يردع الناس خوفاً و حذراً عن ارتكاب الجريمة، ممّا يؤدّي إلى امتناع تحقّق هذا الحكم عمليّاً في الخارج، أمّا إذا ما ارتُكبت جريمة ما، و وجد لهذا الحكم مصداق يجعله يتحقّق فعلاً، فإنّ حكم القصاص سيمنح- على أيّة حال- المجتمع حياةً و قدرة و يهبه عزّة و استقلالاً سهل المنال.</w:t>
      </w:r>
      <w:r>
        <w:rPr>
          <w:rStyle w:val="FootnoteReference"/>
        </w:rPr>
        <w:footnoteReference w:id="8"/>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(نور ملكوت القرآن)</w:t>
        </w:r>
      </w:hyperlink>
      <w:r>
        <w:rPr>
          <w:rtl w:val="0"/>
          <w:lang w:val="ar-SA"/>
        </w:rPr>
        <w:t xml:space="preserve"> لمؤلّفه سماحة المرحوم العلامة آية الله الحاج السيد محمد حسين الحسيني الطهراني رضوان الله عليه فننصح من أراد الازدياد بقراءة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9EEB4A-5997-4863-A304-FCA96CDC54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9FED72-A849-4F5F-9890-0310E8149A4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٤٤ و ٤٥، من السورة ٥: المائدة.</w:t>
      </w:r>
    </w:p>
  </w:footnote>
  <w:footnote w:id="2">
    <w:p>
      <w:pPr>
        <w:pStyle w:val="FNNormal_MS_V1"/>
      </w:pPr>
      <w:r>
        <w:rPr>
          <w:rStyle w:val="FootnoteReference"/>
        </w:rPr>
        <w:footnoteRef/>
      </w:r>
      <w:r>
        <w:t xml:space="preserve"> </w:t>
      </w:r>
      <w:r>
        <w:rPr>
          <w:rtl w:val="0"/>
          <w:lang w:val="ar-SA"/>
        </w:rPr>
        <w:t xml:space="preserve"> طبقاً لنقل العلّامة الطباطبائيّ رضوان الله عليه في «الميزان» ج ٥، ص ٣٩۱ و ٣٩٢ عن التوراة باللغة العربيّة المطبوعة في كمروج سنة ۱٩٣٥ م.</w:t>
      </w:r>
    </w:p>
  </w:footnote>
  <w:footnote w:id="3">
    <w:p>
      <w:pPr>
        <w:pStyle w:val="FNNormal_MS_V1"/>
      </w:pPr>
      <w:r>
        <w:rPr>
          <w:rStyle w:val="FootnoteReference"/>
        </w:rPr>
        <w:footnoteRef/>
      </w:r>
      <w:r>
        <w:t xml:space="preserve"> </w:t>
      </w:r>
      <w:r>
        <w:rPr>
          <w:rtl w:val="0"/>
          <w:lang w:val="ar-SA"/>
        </w:rPr>
        <w:t xml:space="preserve"> الآيتان ٤٦ و ٤۷، من السورة ٥: المائدة.</w:t>
      </w:r>
    </w:p>
  </w:footnote>
  <w:footnote w:id="4">
    <w:p>
      <w:pPr>
        <w:pStyle w:val="FNNormal_MS_V1"/>
      </w:pPr>
      <w:r>
        <w:rPr>
          <w:rStyle w:val="FootnoteReference"/>
        </w:rPr>
        <w:footnoteRef/>
      </w:r>
      <w:r>
        <w:t xml:space="preserve"> </w:t>
      </w:r>
      <w:r>
        <w:rPr>
          <w:rtl w:val="0"/>
          <w:lang w:val="ar-SA"/>
        </w:rPr>
        <w:t xml:space="preserve"> الآية ٥۰: من السورة ٣ آل عمران. </w:t>
      </w:r>
      <w:r>
        <w:rPr>
          <w:rStyle w:val="Quran_MS_V1"/>
          <w:rtl w:val="0"/>
          <w:lang w:val="ar-SA"/>
        </w:rPr>
        <w:t xml:space="preserve">وَ مُصَدِّقًا لِّمَا بَيْنَ يَدَيْهِ مِنَ التَّوْرَاةِ وَ لُاحِلَّ لَكُم بَعْضَ الذي حُرِّمَ عَلَيْكُمْ وَ جِئْتُكُم بِايَةٍ مِّن رَّبِّكُمْ فَاتَّقُوا اللهَ وَ أطِيعُونَ.</w:t>
      </w:r>
    </w:p>
  </w:footnote>
  <w:footnote w:id="5">
    <w:p>
      <w:pPr>
        <w:pStyle w:val="FNNormal_MS_V1"/>
      </w:pPr>
      <w:r>
        <w:rPr>
          <w:rStyle w:val="FootnoteReference"/>
        </w:rPr>
        <w:footnoteRef/>
      </w:r>
      <w:r>
        <w:t xml:space="preserve"> </w:t>
      </w:r>
      <w:r>
        <w:rPr>
          <w:rtl w:val="0"/>
          <w:lang w:val="ar-SA"/>
        </w:rPr>
        <w:t xml:space="preserve"> الآيتان ٤۸ و ٤٩، من السورة ٥: المائدة.</w:t>
      </w:r>
    </w:p>
  </w:footnote>
  <w:footnote w:id="6">
    <w:p>
      <w:pPr>
        <w:pStyle w:val="FNNormal_MS_V1"/>
      </w:pPr>
      <w:r>
        <w:rPr>
          <w:rStyle w:val="FootnoteReference"/>
        </w:rPr>
        <w:footnoteRef/>
      </w:r>
      <w:r>
        <w:t xml:space="preserve"> </w:t>
      </w:r>
      <w:r>
        <w:rPr>
          <w:rtl w:val="0"/>
          <w:lang w:val="ar-SA"/>
        </w:rPr>
        <w:t xml:space="preserve"> ذيل الآية ۱٩٤، من السورة ٢: البقرة.</w:t>
      </w:r>
    </w:p>
  </w:footnote>
  <w:footnote w:id="7">
    <w:p>
      <w:pPr>
        <w:pStyle w:val="FNNormal_MS_V1"/>
      </w:pPr>
      <w:r>
        <w:rPr>
          <w:rStyle w:val="FootnoteReference"/>
        </w:rPr>
        <w:footnoteRef/>
      </w:r>
      <w:r>
        <w:t xml:space="preserve"> </w:t>
      </w:r>
      <w:r>
        <w:rPr>
          <w:rtl w:val="0"/>
          <w:lang w:val="ar-SA"/>
        </w:rPr>
        <w:t xml:space="preserve"> الآيتان ٤۰ و ٤۱، من السورة ٤٢: الشوري.</w:t>
      </w:r>
    </w:p>
  </w:footnote>
  <w:footnote w:id="8">
    <w:p>
      <w:pPr>
        <w:pStyle w:val="FNNormal_MS_V1"/>
      </w:pPr>
      <w:r>
        <w:rPr>
          <w:rStyle w:val="FootnoteReference"/>
        </w:rPr>
        <w:footnoteRef/>
      </w:r>
      <w:r>
        <w:t xml:space="preserve"> </w:t>
      </w:r>
      <w:r>
        <w:rPr>
          <w:rtl/>
          <w:lang w:val="ar-SA"/>
        </w:rPr>
        <w:t xml:space="preserve"> يقول: «و إذا ما صفعك علي الخدّ الأيمن فأدر الأيسر، أو الأيسر فأدر الأيمن. انهض إذ ذاك بدرٌ بشعرٍ كالعنبر، و افترّ عن شفاهٍ كالعقيق الأحمر. و قال: أمختصٌّ حُكمكم بصفع الخدود؟ أم يجري كذاك علي تقبيلها؟».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6/%D9%86%D9%88%D8%B1-%D9%85%D9%84%D9%83%D9%88%D8%AA-%D8%A7%D9%84%D9%82%D8%B1%D8%A2%D9%86-%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