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مقام أمير المؤمنين عليه السّلام‏</w:t>
      </w:r>
    </w:p>
    <w:p>
      <w:pPr>
        <w:pStyle w:val="Besm_MS_V1"/>
      </w:pPr>
      <w:r>
        <w:rPr>
          <w:rtl w:val="0"/>
          <w:lang w:val="ar-SA"/>
        </w:rPr>
        <w:t xml:space="preserve"> </w:t>
      </w:r>
    </w:p>
    <w:p>
      <w:pPr>
        <w:pStyle w:val="Besm_MS_V1"/>
      </w:pPr>
      <w:r>
        <w:rPr>
          <w:rtl w:val="0"/>
          <w:lang w:val="ar-SA"/>
        </w:rPr>
        <w:t xml:space="preserve">بحث منتخب من آثار الأعاظم</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 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أمّا بالنسبة إلى أمير المؤمنين عليه السلام، فهو قائد للمعارف الحقّة و صاحب لواء الحمد، و السابق في مراحل التوحيد؛ فقد جاء به الله سبحانه في بيته و حرمه (الكعبة) بعد أن حفظ نوره المقدّس في الأصلاب نسلًاً بعد نسل، من آدم إلى أبي طالب.</w:t>
      </w:r>
    </w:p>
    <w:p>
      <w:pPr>
        <w:pStyle w:val="ContentNormal_MS_V1"/>
      </w:pPr>
      <w:r>
        <w:rPr>
          <w:rStyle w:val="ContentBold_MS_V1"/>
          <w:rtl w:val="0"/>
          <w:lang w:val="ar-SA"/>
        </w:rPr>
        <w:t xml:space="preserve">اسمه المبارك</w:t>
      </w:r>
      <w:r>
        <w:rPr>
          <w:rtl w:val="0"/>
          <w:lang w:val="ar-SA"/>
        </w:rPr>
        <w:t xml:space="preserve">: علي؛ و كُنيته: أبو الحسن؛ و والده: أبو طالب بن عبد المطلب بن هاشم بن عبد مناف؛ و أبو طالب أخو عبد الله والد الرسول، و على هذا فإنّه ابن عمّ رسول الله، تجتمع نسبتهما في جدّهما عبد المطلب.</w:t>
      </w:r>
    </w:p>
    <w:p>
      <w:pPr>
        <w:pStyle w:val="ContentNormal_MS_V1"/>
      </w:pPr>
      <w:r>
        <w:rPr>
          <w:rtl w:val="0"/>
          <w:lang w:val="ar-SA"/>
        </w:rPr>
        <w:t xml:space="preserve">و كان أبو طالب من أكابر أهل مكّة و ممّن خدموا رسول الله، فقد كان يحامي عنه بحيث أنّ أحداً من مشركي قريش لم يستطع أن ينال الرسول بأذى في حياة أبي طالب، و كان أبو طالب يحفظ النبيّ و يحرسه و سائر بني هاشم لمدّة ثلاث سنوات في الشعب المعروف بشعب أبي‏ طالب، و كان يفدي رسول الله بنفسه و يحميه حتى رحل عن هذه الدنيا، و عندها تطاولت الأيادي المتجاوزة و المتجاسرة على رسول الله من قبل المشركين، فأجبر النبيّ الأكرم على الهجرة إلى المدينة.</w:t>
      </w:r>
    </w:p>
    <w:p>
      <w:pPr>
        <w:pStyle w:val="ContentNormal_MS_V1"/>
      </w:pPr>
      <w:r>
        <w:rPr>
          <w:rtl w:val="0"/>
          <w:lang w:val="ar-SA"/>
        </w:rPr>
        <w:t xml:space="preserve">و كان أبو طالب من المؤمنين الواقعيين و المسلمين الحقيقيين برسول الله </w:t>
      </w:r>
      <w:r>
        <w:rPr>
          <w:rStyle w:val="FootnoteReference"/>
        </w:rPr>
        <w:footnoteReference w:id="1"/>
      </w:r>
      <w:r>
        <w:rPr>
          <w:rtl/>
          <w:lang w:val="ar-SA"/>
        </w:rPr>
        <w:t xml:space="preserve">، و أشعاره التي نظمها في مدح رسول الله كثيرة و مثبتة في كتب الأحاديث و التاريخ، لكنّه كان يكتم إيمانه عن قريش لأسباب، من أهمها المحافظة على رسول الله و حراسته، و كان الرسول كثير المحبّة له و كان يخاطبه بـ (أبي).</w:t>
      </w:r>
    </w:p>
    <w:p>
      <w:pPr>
        <w:pStyle w:val="ContentNormal_MS_V1"/>
      </w:pPr>
      <w:r>
        <w:rPr>
          <w:rStyle w:val="ContentBold_MS_V1"/>
          <w:rtl w:val="0"/>
          <w:lang w:val="ar-SA"/>
        </w:rPr>
        <w:t xml:space="preserve">اسم والدته</w:t>
      </w:r>
      <w:r>
        <w:rPr>
          <w:rtl/>
          <w:lang w:val="ar-SA"/>
        </w:rPr>
        <w:t xml:space="preserve">: فاطمة بنت أسد بن هاشم بن عبد مناف؛ و لأنّ أسد كان أخاً لعبد المطلب، لذا فإنّ أبا طالب و فاطمة كانا ابني عمّ بعضهما. و كانت فاطمة بنت أسد والدة أمير المؤمنين من أعلام النساء المسلمات، وهي أوّل امرأة آمنت برسول الله بعد خديجة؛ و كانت تحبّ رسول الله كثيراً، و كان الرسول يخاطبها بـ (أمّي).</w:t>
      </w:r>
    </w:p>
    <w:p>
      <w:pPr>
        <w:pStyle w:val="ContentNormal_MS_V1"/>
      </w:pPr>
      <w:r>
        <w:rPr>
          <w:rtl w:val="0"/>
          <w:lang w:val="ar-SA"/>
        </w:rPr>
        <w:t xml:space="preserve">فاطمة بنت أسد أمُ أمير المؤمنين عليه السّلام‏</w:t>
      </w:r>
    </w:p>
    <w:p>
      <w:pPr>
        <w:pStyle w:val="ContentNormal_MS_V1"/>
      </w:pPr>
      <w:r>
        <w:rPr>
          <w:rtl w:val="0"/>
          <w:lang w:val="ar-SA"/>
        </w:rPr>
        <w:t xml:space="preserve">فاطمة بنت أسد أول امرأة هاجرت من مكّة إلى المدينة:</w:t>
      </w:r>
    </w:p>
    <w:p>
      <w:pPr>
        <w:pStyle w:val="ContentNormal_MS_V1"/>
      </w:pPr>
      <w:r>
        <w:rPr>
          <w:rtl w:val="0"/>
          <w:lang w:val="ar-SA"/>
        </w:rPr>
        <w:t xml:space="preserve">يقول ابن الجوزي: </w:t>
      </w:r>
      <w:r>
        <w:rPr>
          <w:rStyle w:val="ContentBold_MS_V1"/>
          <w:rtl w:val="0"/>
          <w:lang w:val="ar-SA"/>
        </w:rPr>
        <w:t xml:space="preserve">وَ هِيَ أولَ امْرَأةٍ هَاجَرَتْ مِن مَكَّةَ إلى المدِينَةِ مَاشِيَةً حَافِيةً، وَ هِيَ أولُ امْرَأةٍ بَايَعَتْ رَسُولَ اللهِ صلى اللهُ عليه [و آلِه‏] وَ سَلم بِمَكَّةَ بَعْدَ خَدِيجَةَ</w:t>
      </w:r>
      <w:r>
        <w:rPr>
          <w:rStyle w:val="FootnoteReference"/>
        </w:rPr>
        <w:footnoteReference w:id="2"/>
      </w:r>
      <w:r>
        <w:rPr>
          <w:rStyle w:val="ContentBold_MS_V1"/>
          <w:rtl w:val="0"/>
          <w:lang w:val="ar-SA"/>
        </w:rPr>
        <w:t xml:space="preserve">.</w:t>
      </w:r>
    </w:p>
    <w:p>
      <w:pPr>
        <w:pStyle w:val="ContentNormal_MS_V1"/>
      </w:pPr>
      <w:r>
        <w:rPr>
          <w:rtl w:val="0"/>
          <w:lang w:val="ar-SA"/>
        </w:rPr>
        <w:t xml:space="preserve">و يقول ابن الصبّاغ المالكي: فاطمة بنت أسد، أسلمت و هاجرت مع النبيّ صلى الله عليه [و آله‏] و سلم، و كانت من السابقات إلى الإيمان بمنزلة الأم من النبيّ صلى الله عليه [و آله‏] و سلم ... فلما ماتت كفنّها النبيّ صلى الله عليه [و آله‏] و سلم بقميصه، و أمر أسامة بن زيد و أبا أيّوب الأنصاري فحفرا قبرها، فلما بلغا لحدها حفره رسول الله صلى الله عليه [و آله‏] و سلم بيديه و أخرج ترابه، فلما فرغ اضطجع فيه و قال:</w:t>
      </w:r>
    </w:p>
    <w:p>
      <w:pPr>
        <w:pStyle w:val="ContentNormal_MS_V1"/>
      </w:pPr>
      <w:r>
        <w:rPr>
          <w:rStyle w:val="Rewayat_MS_V1"/>
          <w:rtl w:val="0"/>
          <w:lang w:val="ar-SA"/>
        </w:rPr>
        <w:t xml:space="preserve">«اللهُ الذي يُحْيِي و يميتُ وَ هُوَ حَيّ لَا يموتُ اللَّهُمَ اغْفِرْ لأمِيّ فَاطِمَةَ بِنْتِ أسَدٍ وَ لَقِّنْهَا حُجَّتها وَ وَسِّعْ عَليهَا مُدْخَلها بِحَقِّ نِبِيِّكَ محمّدٍ وَالأنبياءِ الَّذِينَ مِن قَبْلي فَإنَّكَ أرْحَمُ الرَاحِمين</w:t>
      </w:r>
      <w:r>
        <w:rPr>
          <w:rtl w:val="0"/>
          <w:lang w:val="ar-SA"/>
        </w:rPr>
        <w:t xml:space="preserve"> </w:t>
      </w:r>
      <w:r>
        <w:rPr>
          <w:rStyle w:val="FootnoteReference"/>
        </w:rPr>
        <w:footnoteReference w:id="3"/>
      </w:r>
      <w:r>
        <w:rPr>
          <w:rtl w:val="0"/>
          <w:lang w:val="ar-SA"/>
        </w:rPr>
        <w:t xml:space="preserve">.</w:t>
      </w:r>
    </w:p>
    <w:p>
      <w:pPr>
        <w:pStyle w:val="ContentNormal_MS_V1"/>
      </w:pPr>
      <w:r>
        <w:rPr>
          <w:rStyle w:val="Rewayat_MS_V1"/>
          <w:rtl w:val="0"/>
          <w:lang w:val="ar-SA"/>
        </w:rPr>
        <w:t xml:space="preserve">فقيل</w:t>
      </w:r>
      <w:r>
        <w:rPr>
          <w:rStyle w:val="FootnoteReference"/>
        </w:rPr>
        <w:footnoteReference w:id="4"/>
      </w:r>
      <w:r>
        <w:rPr>
          <w:rStyle w:val="Rewayat_MS_V1"/>
          <w:rtl w:val="0"/>
          <w:lang w:val="ar-SA"/>
        </w:rPr>
        <w:t xml:space="preserve">: يا رسول الله! رأيناك وضعت شيئاً لم تكن وضعته بأحد</w:t>
      </w:r>
    </w:p>
    <w:p>
      <w:pPr>
        <w:pStyle w:val="ContentNormal_MS_V1"/>
      </w:pPr>
      <w:r>
        <w:rPr>
          <w:rStyle w:val="Rewayat_MS_V1"/>
          <w:rtl w:val="0"/>
          <w:lang w:val="ar-SA"/>
        </w:rPr>
        <w:t xml:space="preserve">قبلها؟!</w:t>
      </w:r>
    </w:p>
    <w:p>
      <w:pPr>
        <w:pStyle w:val="ContentNormal_MS_V1"/>
      </w:pPr>
      <w:r>
        <w:rPr>
          <w:rStyle w:val="Rewayat_MS_V1"/>
          <w:rtl w:val="0"/>
          <w:lang w:val="ar-SA"/>
        </w:rPr>
        <w:t xml:space="preserve">فقال صلى الله عليه [و آله‏] و سلم: ألبستها قميصي لتلبس من ثياب الجنّة، و اضطجعتُ في قبرها ليخفّ عنها من ضغطة القبر، إنّها كانت من أحسن خلق الله صُنعاً إلى بعد أبي طالب رضي الله عنهما و رحمهما»</w:t>
      </w:r>
      <w:r>
        <w:rPr>
          <w:rStyle w:val="FootnoteReference"/>
        </w:rPr>
        <w:footnoteReference w:id="5"/>
      </w:r>
      <w:r>
        <w:rPr>
          <w:rStyle w:val="Rewayat_MS_V1"/>
          <w:rtl w:val="0"/>
          <w:lang w:val="ar-SA"/>
        </w:rPr>
        <w:t xml:space="preserve">.</w:t>
      </w:r>
    </w:p>
    <w:p>
      <w:pPr>
        <w:pStyle w:val="ContentNormal_MS_V1"/>
      </w:pPr>
      <w:r>
        <w:rPr>
          <w:rtl w:val="0"/>
          <w:lang w:val="ar-SA"/>
        </w:rPr>
        <w:t xml:space="preserve">يقول سبط ابن الجوزي: و كانت وفاة فاطمة بنت أسد في السنة الرابعة للهجرة</w:t>
      </w:r>
      <w:r>
        <w:rPr>
          <w:rStyle w:val="FootnoteReference"/>
        </w:rPr>
        <w:footnoteReference w:id="6"/>
      </w:r>
      <w:r>
        <w:rPr>
          <w:rtl w:val="0"/>
          <w:lang w:val="ar-SA"/>
        </w:rPr>
        <w:t xml:space="preserve">.</w:t>
      </w:r>
    </w:p>
    <w:p>
      <w:pPr>
        <w:pStyle w:val="ContentNormal_MS_V1"/>
      </w:pPr>
      <w:r>
        <w:rPr>
          <w:rtl w:val="0"/>
          <w:lang w:val="ar-SA"/>
        </w:rPr>
        <w:t xml:space="preserve">و قد أنجب أبو طالب و فاطمة بنت أسد أربعة أولاد هم بالترتيب: طالب، و عقيل، و جعفر، و على، و كان كلّ واحد منهم أسنّ من الأخر الذي يسبقه بعشر سنين، كما انجبا بنتاً واحدة تسمّى فاختة و تكنى بـ (أمّ هاني) </w:t>
      </w:r>
      <w:r>
        <w:rPr>
          <w:rStyle w:val="FootnoteReference"/>
        </w:rPr>
        <w:footnoteReference w:id="7"/>
      </w:r>
      <w:r>
        <w:rPr>
          <w:rtl w:val="0"/>
          <w:lang w:val="ar-SA"/>
        </w:rPr>
        <w:t xml:space="preserve">.</w:t>
      </w:r>
    </w:p>
    <w:p>
      <w:pPr>
        <w:pStyle w:val="ContentNormal_MS_V1"/>
      </w:pPr>
      <w:r>
        <w:rPr>
          <w:rtl w:val="0"/>
          <w:lang w:val="ar-SA"/>
        </w:rPr>
        <w:t xml:space="preserve">و ليس هناك من شكّ في أنّ عليّاً عليه السلام ولد في جوف الكعبة بيت الله، و في ذلك يقول السيّد الحميري:</w:t>
      </w:r>
    </w:p>
    <w:p>
      <w:pPr/>
    </w:p>
    <w:p>
      <w:pPr/>
    </w:p>
    <w:p>
      <w:pPr/>
    </w:p>
    <w:p>
      <w:pPr/>
    </w:p>
    <w:p>
      <w:pPr>
        <w:pStyle w:val="ContentNormal_MS_V1"/>
      </w:pPr>
      <w:r>
        <w:rPr>
          <w:rtl w:val="0"/>
          <w:lang w:val="ar-SA"/>
        </w:rPr>
        <w:t xml:space="preserve">يقول المستشار عبد الحليم الجُندي، أحد أركان المجلس الأعلى للشؤون الإسلامية في مصر في كتابه القيم (الإمام جعفر الصادق) ص ٣۱:</w:t>
      </w:r>
    </w:p>
    <w:p>
      <w:pPr>
        <w:pStyle w:val="ContentNormal_MS_V1"/>
      </w:pPr>
      <w:r>
        <w:rPr>
          <w:rtl w:val="0"/>
          <w:lang w:val="ar-SA"/>
        </w:rPr>
        <w:t xml:space="preserve">و عليٌّ في كثير من الأمور هو الأوحد، فالنبيّ هو الذي ربّاه، و آخاه، و أعدّه للعظائم فصنعها، و عَهِد إليه في تبليغ آي القرءان... و هي جميعها خصوصيّات لا يرقى رقيّه فيها أحد؛ أما ما لم يشركه فيه بشر فهو ما أجمعت عليه كتب الشيعة و شاركها فيه كثيرون من علماء أهل السنّة منذ القرون الأولى ـ كالمسعودي و الحاكم و الكنجي ـ حتى القرون الحديثة ـ كالآلوسي ـ و هو «</w:t>
      </w:r>
      <w:r>
        <w:rPr>
          <w:rStyle w:val="Rewayat_MS_V1"/>
          <w:bCs/>
          <w:rtl/>
          <w:lang w:val="ar-SA"/>
        </w:rPr>
        <w:t xml:space="preserve">أنَّ عَليا وُلِدَ بِالْكَعْبَةِ».</w:t>
      </w:r>
    </w:p>
    <w:p>
      <w:pPr>
        <w:pStyle w:val="ContentNormal_MS_V1"/>
      </w:pPr>
      <w:r>
        <w:rPr>
          <w:rtl w:val="0"/>
          <w:lang w:val="ar-SA"/>
        </w:rPr>
        <w:t xml:space="preserve">كما يقول عبد الباقي العمري في هذا الشأن:</w:t>
      </w:r>
    </w:p>
    <w:p>
      <w:pPr/>
    </w:p>
    <w:p>
      <w:pPr>
        <w:pStyle w:val="ContentNormal_MS_V1"/>
      </w:pPr>
      <w:r>
        <w:rPr>
          <w:rtl w:val="0"/>
          <w:lang w:val="ar-SA"/>
        </w:rPr>
        <w:t xml:space="preserve">و يقول الحاكم النيسابوري: </w:t>
      </w:r>
      <w:r>
        <w:rPr>
          <w:rStyle w:val="ContentBold_MS_V1"/>
          <w:rtl w:val="0"/>
          <w:lang w:val="ar-SA"/>
        </w:rPr>
        <w:t xml:space="preserve">لَم يُولَدْ في جَوْفِ الْكَعْبَةِ قَبْلَ عليّ وَ لَا بَعدَهُ مَوْلُودٌ إكرامًا لَهُ وَ إجلالًاً لِمَحلِّهِ‏.</w:t>
      </w:r>
    </w:p>
    <w:p>
      <w:pPr>
        <w:pStyle w:val="ContentNormal_MS_V1"/>
      </w:pPr>
      <w:r>
        <w:rPr>
          <w:rtl w:val="0"/>
          <w:lang w:val="ar-SA"/>
        </w:rPr>
        <w:t xml:space="preserve">كما يقول ابن الصبّاغ المالكي: </w:t>
      </w:r>
      <w:r>
        <w:rPr>
          <w:rStyle w:val="ContentBold_MS_V1"/>
          <w:rtl w:val="0"/>
          <w:lang w:val="ar-SA"/>
        </w:rPr>
        <w:t xml:space="preserve">وُلِدُ عليّ عَليه السلام بِمَكَّةَ الْمُشَرَّفَةِ بِدَاخِلِ الْبَيتِ الْحَرَامِ في يَومِ الْجُمُعَةِ الثَّالِثِ عَشَرَ مِن شَهْرِ اللهِ الأصمِّ، رَجَبِ الْفَردِ سَنَةَ ثَلاثِينَ مِن عَامِ الْفِيلِ، قَبْلَ الْهِجْرَةِ بِثلاثٍ و عِشرِينَ سَنَةً، وَ قِيلَ بِخَمْسٍ وَ عِشرِينَ، وَ قَبْلَ الْبَعثِ بِاثنَتَي عَشَرة سَنَةً، وَ قِيلَ بِعَشرِ سِنين، وَ لم يُولَد في الْبَيتِ الحرامِ قَبْلَهُ أحَدٌ سِوَاهُ، وَ هِيَ فَضِيلَةٌ خَصَّهُ اللهُ تعالى بها إجْلالًا لَهُ وَ إعْلَانَاً لِمَرتَبَتِهِ وَ إظْهَارًا لِتَكْرمَتِهِ، وَ كَانَ عليّ هَاشِمِيًّا مِن هَاشِمِيّينِ وَ أوَّل مِن وَلدَهُ هَاشِمُ مَرَّتَينِ</w:t>
      </w:r>
      <w:r>
        <w:rPr>
          <w:rStyle w:val="FootnoteReference"/>
        </w:rPr>
        <w:footnoteReference w:id="8"/>
      </w:r>
      <w:r>
        <w:rPr>
          <w:rtl w:val="0"/>
          <w:lang w:val="ar-SA"/>
        </w:rPr>
        <w:t xml:space="preserve"> </w:t>
      </w:r>
      <w:r>
        <w:rPr>
          <w:rStyle w:val="ReferenceNumber_MS_V1"/>
          <w:rtl w:val="0"/>
          <w:lang w:val="ar-SA"/>
        </w:rPr>
        <w:t xml:space="preserve">و</w:t>
      </w:r>
      <w:r>
        <w:rPr>
          <w:rtl w:val="0"/>
          <w:lang w:val="ar-SA"/>
        </w:rPr>
        <w:t xml:space="preserve"> </w:t>
      </w:r>
      <w:r>
        <w:rPr>
          <w:rStyle w:val="ReferenceNumber_MS_V1"/>
          <w:rtl w:val="0"/>
          <w:lang w:val="ar-SA"/>
        </w:rPr>
        <w:t xml:space="preserve">و</w:t>
      </w:r>
      <w:r>
        <w:rPr>
          <w:rtl w:val="0"/>
          <w:lang w:val="ar-SA"/>
        </w:rPr>
        <w:t xml:space="preserve"> </w:t>
      </w:r>
      <w:r>
        <w:rPr>
          <w:rStyle w:val="FootnoteReference"/>
        </w:rPr>
        <w:footnoteReference w:id="9"/>
      </w:r>
      <w:r>
        <w:rPr>
          <w:rtl w:val="0"/>
          <w:lang w:val="ar-SA"/>
        </w:rPr>
        <w:t xml:space="preserve">.</w:t>
      </w:r>
    </w:p>
    <w:p>
      <w:pPr>
        <w:pStyle w:val="Title1_MS_V1"/>
      </w:pPr>
      <w:r>
        <w:rPr>
          <w:rtl w:val="0"/>
          <w:lang w:val="ar-SA"/>
        </w:rPr>
        <w:t xml:space="preserve">كيفيّة ولادة أمير المؤمنين عليه السّلام في الكعبة</w:t>
      </w:r>
    </w:p>
    <w:p>
      <w:pPr>
        <w:pStyle w:val="ContentNormal_MS_V1"/>
      </w:pPr>
      <w:r>
        <w:rPr>
          <w:rtl w:val="0"/>
          <w:lang w:val="ar-SA"/>
        </w:rPr>
        <w:t xml:space="preserve">أمّا في كيفيّة ولادته فقد ورد أنّه: أتت فاطمة بنت أسد بن هاشم أمّ أمير المؤمنين عليه السّلام، و كانت حاملة بأمير المؤمنين عليه السلام لتسعة أشهر، و كان يوم التمام، قال: فوقفت بإزاء البيت الحرام و قد أخذها الطلق، فرمت بطرفها إلى السماء وقالت: أي ربّ، إني مؤمنة بك و بما جاء من عندك الرسولُ، و بكلّ نبيّ من أنبيائك، و بكلّ كتابٍ أنزلتَه، و إنّي مصدّقة بكلام جدّي إبراهيم الخليل وأنّه بنى بيتك العتيق. فأسألك بحقّ هذا البيت و مَن بناه، و بهذا المولود الذي في أحشائي الذي يكلمني و يؤنسني بحديثه، و أنا موقنةٌ أنّه إحدى آياتك و دلائلك لما يسّرتَ على ولادتي.</w:t>
      </w:r>
    </w:p>
    <w:p>
      <w:pPr>
        <w:pStyle w:val="ContentNormal_MS_V1"/>
      </w:pPr>
      <w:r>
        <w:rPr>
          <w:rtl/>
          <w:lang w:val="ar-SA"/>
        </w:rPr>
        <w:t xml:space="preserve">قال العبّاس بن عبد المطّلب و يزيد بن قعنب (و كانا يشهدان ذلك): لما تكلّمت فاطمة بنت أسد ودعت بهذا الدعاء، رأينا البيت قد انفتح من ظهره (في موضع المستجار) و دخلت فاطمة فيه و غابت عن أبصارنا، ثم عادت الفتحة و التزقت بإذن الله (تعالى)، فرُمنا أن نفتح الباب ليصل إليها بعضُ نسائنا فلم ينفتح الباب، فعلمنا أنّ ذلك أمر من أمر الله (تعالى).</w:t>
      </w:r>
    </w:p>
    <w:p>
      <w:pPr>
        <w:pStyle w:val="ContentNormal_MS_V1"/>
      </w:pPr>
      <w:r>
        <w:rPr>
          <w:rtl w:val="0"/>
          <w:lang w:val="ar-SA"/>
        </w:rPr>
        <w:t xml:space="preserve">و بقيت فاطمة في البيت ثلاثة أيّام. قال: و أهلُ مكّة يتحدّثون بذلك في أفواه السكك و تتحدّث المخدّرات في خدورهنّ.</w:t>
      </w:r>
    </w:p>
    <w:p>
      <w:pPr>
        <w:pStyle w:val="ContentNormal_MS_V1"/>
      </w:pPr>
      <w:r>
        <w:rPr>
          <w:rtl w:val="0"/>
          <w:lang w:val="ar-SA"/>
        </w:rPr>
        <w:t xml:space="preserve">قال: فلما كان بعد ثلاثة أيّام انفتح الباب من الموضع الذي كانت‏ دخلت فيه، فخرجت فاطمة و عليّ على يديها [و هي تقول: مَن مثلي يلد ولداً كهذا في جوف الكعبة؟!]</w:t>
      </w:r>
      <w:r>
        <w:rPr>
          <w:rStyle w:val="FootnoteReference"/>
        </w:rPr>
        <w:footnoteReference w:id="10"/>
      </w:r>
      <w:r>
        <w:rPr>
          <w:rtl w:val="0"/>
          <w:lang w:val="ar-SA"/>
        </w:rPr>
        <w:t xml:space="preserve">.</w:t>
      </w:r>
    </w:p>
    <w:p>
      <w:pPr>
        <w:pStyle w:val="ContentNormal_MS_V1"/>
      </w:pPr>
      <w:r>
        <w:rPr>
          <w:rtl w:val="0"/>
          <w:lang w:val="ar-SA"/>
        </w:rPr>
        <w:t xml:space="preserve">و أمّا ما نقله ابن الصبّاغ المالكي عن كتاب المناقب لأبي العالي الفقيه المكّي فهو:</w:t>
      </w:r>
    </w:p>
    <w:p>
      <w:pPr>
        <w:pStyle w:val="ContentNormal_MS_V1"/>
      </w:pPr>
      <w:r>
        <w:rPr>
          <w:rtl w:val="0"/>
          <w:lang w:val="ar-SA"/>
        </w:rPr>
        <w:t xml:space="preserve">روى خبراً يرفعه إلى عليّ بن الحسين [عليهما السلام‏] انّه قال: كنّا عند الحسين (رض) في بعض الأيّام و إذا بنسوة مجتمعين فأقبلت امرأة منهنّ علينا، فقلتُ لها: مَنْ أنتِ يرحمك الله؟ قالت: أنا زيدة ابنة العجلان من بني ساعدة.</w:t>
      </w:r>
    </w:p>
    <w:p>
      <w:pPr>
        <w:pStyle w:val="ContentNormal_MS_V1"/>
      </w:pPr>
      <w:r>
        <w:rPr>
          <w:rtl w:val="0"/>
          <w:lang w:val="ar-SA"/>
        </w:rPr>
        <w:t xml:space="preserve">فقلتُ لها: هل عندك من شي‏ء تحدّثينا به؟! قالت: أي والله، حدّثتني أم عمارة بنت عبادة بن فضلة بن هالك بن عجلان الساعدي إنّها كانت ذات يوم في نساء من العرب، إذ أقبل أبو طالب كئيباً حزيناً، فقلتُ له: ما شأنُك؟ قال: إنّ فاطمة بنت أسد في شدّة من الطلق. ثم إنّه أخذ بيدها وجاء بها إلى الكعبة فدخل بها و قال: اجلسي على اسم الله، فطلقت طلقةً واحدة فولدت غلاماً نظيفاً منظّفاً لم أرَ أحسن وجهاً منه، فسمّاه أبو طالب علياً، وقال شعراً:</w:t>
      </w:r>
    </w:p>
    <w:p>
      <w:pPr>
        <w:pStyle w:val="Title1_MS_V1"/>
      </w:pPr>
      <w:r>
        <w:rPr>
          <w:rtl w:val="0"/>
          <w:lang w:val="ar-SA"/>
        </w:rPr>
        <w:t xml:space="preserve">تسمية أمير المؤمنين عليه السّلام‏</w:t>
      </w:r>
    </w:p>
    <w:p>
      <w:pPr/>
    </w:p>
    <w:p>
      <w:pPr>
        <w:pStyle w:val="ContentNormal_MS_V1"/>
      </w:pPr>
      <w:r>
        <w:rPr>
          <w:rtl w:val="0"/>
          <w:lang w:val="ar-SA"/>
        </w:rPr>
        <w:t xml:space="preserve">و جاء النبيّ صلى الله عليه [و آله‏] و سلم فحمله معه إلى منزل أمّه. قال علي بن الحسين: </w:t>
      </w:r>
      <w:r>
        <w:rPr>
          <w:rStyle w:val="Rewayat_MS_V1"/>
          <w:rtl w:val="0"/>
          <w:lang w:val="ar-SA"/>
        </w:rPr>
        <w:t xml:space="preserve">«فو الله ما سمعتُ بشي‏ء حسن قطّ إلّا و هذا من أحسنه»</w:t>
      </w:r>
      <w:r>
        <w:rPr>
          <w:rStyle w:val="FootnoteReference"/>
        </w:rPr>
        <w:footnoteReference w:id="11"/>
      </w:r>
      <w:r>
        <w:rPr>
          <w:rtl w:val="0"/>
          <w:lang w:val="ar-SA"/>
        </w:rPr>
        <w:t xml:space="preserve">.</w:t>
      </w:r>
    </w:p>
    <w:p>
      <w:pPr>
        <w:pStyle w:val="ContentNormal_MS_V1"/>
      </w:pPr>
      <w:r>
        <w:rPr>
          <w:rtl w:val="0"/>
          <w:lang w:val="ar-SA"/>
        </w:rPr>
        <w:t xml:space="preserve">و يروي الشيخ سليمان القندوزي عن كتاب (مودّة القربى) عن العبّاس بن عبد المطّلب قال: لما ولدت فاطمة بنت أسد علياً سمّته باسم أبيه أسد و لم يرضَ أبو طالب بهذا الاسم فقال: هلمّ حتى نعلو أبا قبيس ليلًا وندعوا خالق الخضراء، فلعلّه أن ينبئنا في اسمه، فلما أمسيا خرجا و صعدا أبا قبيس و دعيا الله تعالى، فأنشأ أبو طالب شعراً:</w:t>
      </w:r>
    </w:p>
    <w:p>
      <w:pPr/>
    </w:p>
    <w:p>
      <w:pPr/>
    </w:p>
    <w:p>
      <w:pPr>
        <w:pStyle w:val="ContentNormal_MS_V1"/>
      </w:pPr>
      <w:r>
        <w:rPr>
          <w:rtl w:val="0"/>
          <w:lang w:val="ar-SA"/>
        </w:rPr>
        <w:t xml:space="preserve">فإذا خشخشة من السماء، فرفع أبو طالب طرفه فإذا لوح مثل زبرجد أخضر فيه أربعة أسطر، فأخذه بكلتا يديه و ضمّه إلى صدره ضمّاً شديداً، فإذا مكتوب:</w:t>
      </w:r>
    </w:p>
    <w:p>
      <w:pPr/>
    </w:p>
    <w:p>
      <w:pPr/>
    </w:p>
    <w:p>
      <w:pPr>
        <w:pStyle w:val="ContentNormal_MS_V1"/>
      </w:pPr>
      <w:r>
        <w:rPr>
          <w:rtl w:val="0"/>
          <w:lang w:val="ar-SA"/>
        </w:rPr>
        <w:t xml:space="preserve">فسُرّ أبو طالب سروراً عظيماً و خرّ ساجداً للّه تبارك و تعالى، و عقّ بعشرة من الإبل، و كان اللوح معلّقاً في بيت الحرام يفتخر به بنو هاشم على قريش حتى غاب زمان قتال الحجّاجِ ابنَ الزبير</w:t>
      </w:r>
      <w:r>
        <w:rPr>
          <w:rStyle w:val="FootnoteReference"/>
        </w:rPr>
        <w:footnoteReference w:id="12"/>
      </w:r>
      <w:r>
        <w:rPr>
          <w:rtl w:val="0"/>
          <w:lang w:val="ar-SA"/>
        </w:rPr>
        <w:t xml:space="preserve">.</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BA9E7850-9A1A-4E81-9AD4-D637F77314DF}"/>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A6EA23E-9650-4C64-9D48-FC0732401F1F}"/>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يُرجع إلى كتاب (أبو طالب مؤمن قريش) تأليف عبد الله الخنيزي، و كتاب (الحجّة على الذاهب إلى تكفير أبي طالب) تأليف فخار بن سعد بن فخار الموسوي‏ بن معد الموسوي الحائري الذي يروي عن ابن ادريس الحلّي، و يروي عنه المحقّق الحلّي، و يرجع كذلك إلى كتاب (أبو طالب حامي الرسول و ناصره) تأليف العلّامة نجم الدين الشريف العسكري.</w:t>
      </w:r>
    </w:p>
  </w:footnote>
  <w:footnote w:id="2">
    <w:p>
      <w:pPr>
        <w:pStyle w:val="FNNormal_MS_V1"/>
      </w:pPr>
      <w:r>
        <w:rPr>
          <w:rStyle w:val="FootnoteReference"/>
        </w:rPr>
        <w:footnoteRef/>
      </w:r>
      <w:r>
        <w:t xml:space="preserve"> </w:t>
      </w:r>
      <w:r>
        <w:rPr>
          <w:rtl w:val="0"/>
          <w:lang w:val="ar-SA"/>
        </w:rPr>
        <w:t xml:space="preserve"> (الفصول المهمّة) لابن الصبّاغ، هامش الصفحة ۱٣؛ و (تذكرة السبط) ابن الجوزي، ص ٦.</w:t>
      </w:r>
    </w:p>
  </w:footnote>
  <w:footnote w:id="3">
    <w:p>
      <w:pPr>
        <w:pStyle w:val="FNNormal_MS_V1"/>
      </w:pPr>
      <w:r>
        <w:rPr>
          <w:rStyle w:val="FootnoteReference"/>
        </w:rPr>
        <w:footnoteRef/>
      </w:r>
      <w:r>
        <w:t xml:space="preserve"> </w:t>
      </w:r>
      <w:r>
        <w:rPr>
          <w:rtl w:val="0"/>
          <w:lang w:val="ar-SA"/>
        </w:rPr>
        <w:t xml:space="preserve"> (الفصول المهمّة)، ص ۱٣.</w:t>
      </w:r>
    </w:p>
  </w:footnote>
  <w:footnote w:id="4">
    <w:p>
      <w:pPr>
        <w:pStyle w:val="FNNormal_MS_V1"/>
      </w:pPr>
      <w:r>
        <w:rPr>
          <w:rStyle w:val="FootnoteReference"/>
        </w:rPr>
        <w:footnoteRef/>
      </w:r>
      <w:r>
        <w:t xml:space="preserve"> </w:t>
      </w:r>
      <w:r>
        <w:rPr>
          <w:rtl w:val="0"/>
          <w:lang w:val="ar-SA"/>
        </w:rPr>
        <w:t xml:space="preserve"> و ينقل ابن الأثير ذيل كلام ابن الصبّاغ في (أسد الغابة)، ج ٥، ص ٥۱۷.</w:t>
      </w:r>
    </w:p>
  </w:footnote>
  <w:footnote w:id="5">
    <w:p>
      <w:pPr>
        <w:pStyle w:val="FNNormal_MS_V1"/>
      </w:pPr>
      <w:r>
        <w:rPr>
          <w:rStyle w:val="FootnoteReference"/>
        </w:rPr>
        <w:footnoteRef/>
      </w:r>
      <w:r>
        <w:t xml:space="preserve"> </w:t>
      </w:r>
      <w:r>
        <w:rPr>
          <w:rtl w:val="0"/>
          <w:lang w:val="ar-SA"/>
        </w:rPr>
        <w:t xml:space="preserve"> إلى هنا كلام ابن الصبّاغ‏.</w:t>
      </w:r>
    </w:p>
  </w:footnote>
  <w:footnote w:id="6">
    <w:p>
      <w:pPr>
        <w:pStyle w:val="FNNormal_MS_V1"/>
      </w:pPr>
      <w:r>
        <w:rPr>
          <w:rStyle w:val="FootnoteReference"/>
        </w:rPr>
        <w:footnoteRef/>
      </w:r>
      <w:r>
        <w:t xml:space="preserve"> </w:t>
      </w:r>
      <w:r>
        <w:rPr>
          <w:rtl w:val="0"/>
          <w:lang w:val="ar-SA"/>
        </w:rPr>
        <w:t xml:space="preserve"> (تذكرة الخواص)، ص ٦.</w:t>
      </w:r>
    </w:p>
  </w:footnote>
  <w:footnote w:id="7">
    <w:p>
      <w:pPr>
        <w:pStyle w:val="FNNormal_MS_V1"/>
      </w:pPr>
      <w:r>
        <w:rPr>
          <w:rStyle w:val="FootnoteReference"/>
        </w:rPr>
        <w:footnoteRef/>
      </w:r>
      <w:r>
        <w:t xml:space="preserve"> </w:t>
      </w:r>
      <w:r>
        <w:rPr>
          <w:rtl/>
          <w:lang w:val="ar-SA"/>
        </w:rPr>
        <w:t xml:space="preserve"> (الفصول المهمّة) لابن الصبّاغ ص ۱٢ نقلًا عن ضياء الدين أبي المؤيد الموفّق بن أحمد الخوارزمي في كتابه (المناقب).</w:t>
      </w:r>
    </w:p>
  </w:footnote>
  <w:footnote w:id="8">
    <w:p>
      <w:pPr>
        <w:pStyle w:val="FNNormal_MS_V1"/>
      </w:pPr>
      <w:r>
        <w:rPr>
          <w:rStyle w:val="FootnoteReference"/>
        </w:rPr>
        <w:footnoteRef/>
      </w:r>
      <w:r>
        <w:t xml:space="preserve"> </w:t>
      </w:r>
      <w:r>
        <w:rPr>
          <w:rtl w:val="0"/>
          <w:lang w:val="ar-SA"/>
        </w:rPr>
        <w:t xml:space="preserve"> (ديوان الحميري)، ص ۱٥٥، و يقول جامع الديوان ان تخريج هذه الأبيات من (أعيان الشيعة)، ج ۱٢، ص ٢٤۰؛ و (المناقب)، ج ٢، ص ۱۷٥؛ و (دلائل الصدق)، ج ٢، ص ٣٢۸.</w:t>
      </w:r>
    </w:p>
  </w:footnote>
  <w:footnote w:id="9">
    <w:p>
      <w:pPr>
        <w:pStyle w:val="FNNormal_MS_V1"/>
      </w:pPr>
      <w:r>
        <w:rPr>
          <w:rStyle w:val="FootnoteReference"/>
        </w:rPr>
        <w:footnoteRef/>
      </w:r>
      <w:r>
        <w:t xml:space="preserve"> </w:t>
      </w:r>
      <w:r>
        <w:rPr>
          <w:rtl w:val="0"/>
          <w:lang w:val="ar-SA"/>
        </w:rPr>
        <w:t xml:space="preserve"> تعليقة أشعار الحميري في ديوان الحميري، ص ۱٥٥.</w:t>
      </w:r>
    </w:p>
  </w:footnote>
  <w:footnote w:id="10">
    <w:p>
      <w:pPr>
        <w:pStyle w:val="FNNormal_MS_V1"/>
      </w:pPr>
      <w:r>
        <w:rPr>
          <w:rStyle w:val="FootnoteReference"/>
        </w:rPr>
        <w:footnoteRef/>
      </w:r>
      <w:r>
        <w:t xml:space="preserve"> </w:t>
      </w:r>
      <w:r>
        <w:rPr>
          <w:rtl w:val="0"/>
          <w:lang w:val="ar-SA"/>
        </w:rPr>
        <w:t xml:space="preserve"> (غاية المرام)، ص ۱٣، عن كتاب (الأمالي) للشيخ الطوسي. و العبارة بين القوسين المعقوفين ترجمة النصّ كما ورد بالفارسيّة.</w:t>
      </w:r>
    </w:p>
  </w:footnote>
  <w:footnote w:id="11">
    <w:p>
      <w:pPr>
        <w:pStyle w:val="FNNormal_MS_V1"/>
      </w:pPr>
      <w:r>
        <w:rPr>
          <w:rStyle w:val="FootnoteReference"/>
        </w:rPr>
        <w:footnoteRef/>
      </w:r>
      <w:r>
        <w:t xml:space="preserve"> </w:t>
      </w:r>
      <w:r>
        <w:rPr>
          <w:rtl w:val="0"/>
          <w:lang w:val="ar-SA"/>
        </w:rPr>
        <w:t xml:space="preserve"> (الفصول المهمّة)، ص ۱٢؛ و (غاية المرام)، ص ۱٣ نقله عن طريق العامّة عن كتاب (المناقب) لابن المغازلي الشافعي.</w:t>
      </w:r>
    </w:p>
  </w:footnote>
  <w:footnote w:id="12">
    <w:p>
      <w:pPr>
        <w:pStyle w:val="FNNormal_MS_V1"/>
      </w:pPr>
      <w:r>
        <w:rPr>
          <w:rStyle w:val="FootnoteReference"/>
        </w:rPr>
        <w:footnoteRef/>
      </w:r>
      <w:r>
        <w:t xml:space="preserve"> </w:t>
      </w:r>
      <w:r>
        <w:rPr>
          <w:rtl w:val="0"/>
          <w:lang w:val="ar-SA"/>
        </w:rPr>
        <w:t xml:space="preserve"> (ينابيع المودّة)، ص ٢٥٥.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