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الجزيرة الخضراء.. رواية موضوعة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آثار الأعاظم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أعُوذُ بِاللهِ مِنَ الشَّيْطَانِ الرَّجِيمَ‏</w:t>
      </w:r>
    </w:p>
    <w:p>
      <w:pPr>
        <w:pStyle w:val="Besm_MS_V1"/>
      </w:pPr>
      <w:r>
        <w:rPr>
          <w:rtl w:val="0"/>
          <w:lang w:val="ar-SA"/>
        </w:rPr>
        <w:t xml:space="preserve">بسم الله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للَه ربِّ العالمين</w:t>
      </w:r>
    </w:p>
    <w:p>
      <w:pPr>
        <w:pStyle w:val="Besm_MS_V1"/>
      </w:pPr>
      <w:r>
        <w:rPr>
          <w:rtl w:val="0"/>
          <w:lang w:val="ar-SA"/>
        </w:rPr>
        <w:t xml:space="preserve">وصلّى الله على محمَّدٍ وآلِهِ الطاهِرِين</w:t>
      </w:r>
    </w:p>
    <w:p>
      <w:pPr>
        <w:pStyle w:val="Besm_MS_V1"/>
      </w:pPr>
      <w:r>
        <w:rPr>
          <w:rtl w:val="0"/>
          <w:lang w:val="ar-SA"/>
        </w:rPr>
        <w:t xml:space="preserve">ولعنةُ الله على أعدائِهِم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من الموضوعات الخياليّة و الأساطير المزيّفة حول وجود قائم آل محمّد عجّل الله تعالى فرجه الشريف قصّة البحر الأبيض، و الجزيرة الخضراء، و مثلّث برمودا، التي تتداولها الألسن، و تُطرح حولها مطالب على المنابر بلا سندٍ معتبر، حتى ذكر بعض الكتب مسائل كلّها خالية من الحقيقة.</w:t>
      </w:r>
    </w:p>
    <w:p>
      <w:pPr>
        <w:pStyle w:val="ContentNormal_MS_V1"/>
      </w:pPr>
      <w:r>
        <w:rPr>
          <w:rtl w:val="0"/>
          <w:lang w:val="ar-SA"/>
        </w:rPr>
        <w:t xml:space="preserve">إنّ الجزيرة الخضراء كانت في غرب الأندلس مركزاً للمهديّ خليفة الفاطميّين، و هي الآن مغمورةٌ بالماء.</w:t>
      </w:r>
    </w:p>
    <w:p>
      <w:pPr>
        <w:pStyle w:val="ContentNormal_MS_V1"/>
      </w:pPr>
      <w:r>
        <w:rPr>
          <w:rtl w:val="0"/>
          <w:lang w:val="ar-SA"/>
        </w:rPr>
        <w:t xml:space="preserve">كانت هذه الجزيرة مركزاً للمهديّ الذي اضيفت إليه كلمة القائم فصارت مركزاً للمهديّ القائم، ثمّ قالوا بعد ذلك: لا بدّ للمهديّ من زوجة إذ لا يمكن أن لا يعمل إمام الزمان بسُنّة النبيّ، و له أولاد و أحفاد وَ هَلُمَّ جَرَّاً.</w:t>
      </w:r>
    </w:p>
    <w:p>
      <w:pPr>
        <w:pStyle w:val="ContentNormal_MS_V1"/>
      </w:pPr>
      <w:r>
        <w:rPr>
          <w:rtl w:val="0"/>
          <w:lang w:val="ar-SA"/>
        </w:rPr>
        <w:t xml:space="preserve">كما أنّ مثلّث برمودا خليجٌ تحته مغناطيس متحرّك يجذب كلّ باخرةٍ و أحياناً كلّ طائرةٍ تمرّ من هناك.</w:t>
      </w:r>
    </w:p>
    <w:p>
      <w:pPr>
        <w:pStyle w:val="ContentNormal_MS_V1"/>
      </w:pPr>
      <w:r>
        <w:rPr>
          <w:rtl w:val="0"/>
          <w:lang w:val="ar-SA"/>
        </w:rPr>
        <w:t xml:space="preserve">مَن الذي قال: إن تلك الجزيرة هي محلّ إقامة الإمام عليه السلام؟! و اليوم يصوّرون كلّ نقطةٍ من الأرض بالأقمار الصناعيّة حتى قالوا: إن في إيران عدداً من البحيرات غير موجودة على الخارطة، و قال البعض: يمكن أن تكون سدوداً انشئت حديثاً ثمّ اتّخذت شكل البحيرات.</w:t>
      </w:r>
    </w:p>
    <w:p>
      <w:pPr>
        <w:pStyle w:val="ContentNormal_MS_V1"/>
      </w:pPr>
      <w:r>
        <w:rPr>
          <w:rtl w:val="0"/>
          <w:lang w:val="ar-SA"/>
        </w:rPr>
        <w:t xml:space="preserve">لماذا تُسقط الجزيرة الخضراء في مثلّث برمودا الطائرات و تُغرق البواخر حتى لو كان جميع ركّابها مشركين!؟ أليس إمام العصر و الزمان مركزاً للعدل و موئلًا للرحمة!؟ إنّه لا يقتل أحداً حتى الكفّار الحربيّين فضلًا عن المستضعفين ما لم يُلقِ الحجّة و يُقمِ البرهان!</w:t>
      </w:r>
    </w:p>
    <w:p>
      <w:pPr>
        <w:pStyle w:val="ContentNormal_MS_V1"/>
      </w:pPr>
      <w:r>
        <w:rPr>
          <w:rtl w:val="0"/>
          <w:lang w:val="ar-SA"/>
        </w:rPr>
        <w:t xml:space="preserve">ألم يقرأ الإمام قوله تعالى: </w:t>
      </w:r>
      <w:r>
        <w:rPr>
          <w:rStyle w:val="Quran_MS_V1"/>
          <w:rtl w:val="0"/>
          <w:lang w:val="ar-SA"/>
        </w:rPr>
        <w:t xml:space="preserve">{وَ مَا كُنَّا مُعَذِّبِينَ حتى نَبْعَثَ رَسُولًا}</w:t>
      </w:r>
      <w:r>
        <w:rPr>
          <w:rtl w:val="0"/>
          <w:lang w:val="ar-SA"/>
        </w:rPr>
        <w:t xml:space="preserve">.</w:t>
      </w:r>
      <w:r>
        <w:rPr>
          <w:rStyle w:val="FootnoteReference"/>
        </w:rPr>
        <w:footnoteReference w:id="1"/>
      </w:r>
    </w:p>
    <w:p>
      <w:pPr>
        <w:pStyle w:val="ContentNormal_MS_V1"/>
      </w:pPr>
      <w:r>
        <w:rPr>
          <w:rtl w:val="0"/>
          <w:lang w:val="ar-SA"/>
        </w:rPr>
        <w:t xml:space="preserve">يخاف الكثيرون هذا اليوم من ظهور الإمام. يقولون: إذا ظهر فإنّه يقتلنا. و هذه العقيدة الخرافيّة باطلة. فهو لا يقتل أحداً ما لم يلق عليه الحجّة. إنّه لا يقتل أهل الدين، بل يقتل المنكرين و المعاندين و الأعداء. فلماذا نفرّ من ظهوره؟! نحن ننتظر الفَرَجَ لينظر إلينا بعين الرحمة و يُحيي أرواحنا و نفوسنا و يملأها سروراً و نضارة و عشقاً إلهيّاً!</w:t>
      </w:r>
    </w:p>
    <w:p>
      <w:pPr>
        <w:pStyle w:val="ContentNormal_MS_V1"/>
      </w:pPr>
      <w:r>
        <w:rPr>
          <w:rtl w:val="0"/>
          <w:lang w:val="ar-SA"/>
        </w:rPr>
        <w:t xml:space="preserve">و لم يذكر المجلسيّ في «بحار الأنوار» قصّة الجزيرة الخضراء ضمن الاصول المعتبرة و الروايات الواردة عنها، بل يصرّح أنّه لم يجد سنداً يدلّ على صحّتها، لذا أفرد لها باباً مستقلًّا تحت عنوان أشياء موجودة بلا سند. و أورد أنّه وجد هذه الرسالة المشتهرة بقصّة الجزيرة الخضراء في البحر الأبيض و أحبّ ذكرها. و بلغ كلام صاحب الرسالة (و هو مجهول) بقوله:</w:t>
      </w:r>
    </w:p>
    <w:p>
      <w:pPr>
        <w:pStyle w:val="ContentNormal_MS_V1"/>
      </w:pPr>
      <w:r>
        <w:rPr>
          <w:rtl w:val="0"/>
          <w:lang w:val="ar-SA"/>
        </w:rPr>
        <w:t xml:space="preserve">فقد وجدتُ في خزانة أميرالمؤمنين عليه السلام و سيّد الوصيّين و حجّة ربّ العالمين وإمام المتّقين علي بن أبي طالب عليه السلام بخطّ الشيخ الفاضل و العالم العامل الفضل بن يحيى بن عليّ الطيِّبيّ الكوفيّ قدّس الله روحه ما هذا صورته ....</w:t>
      </w:r>
    </w:p>
    <w:p>
      <w:pPr>
        <w:pStyle w:val="ContentNormal_MS_V1"/>
      </w:pPr>
      <w:r>
        <w:rPr>
          <w:rtl w:val="0"/>
          <w:lang w:val="ar-SA"/>
        </w:rPr>
        <w:t xml:space="preserve">و ذكر المحدّث النوريّ رحمه الله هذه القصّة في كتاب «النجم الثاقب» مفصّلًا، و قال في آخرها: نقل العلّامة المجلسيّ في «البحار» و الفاضل الخبير الميرزا عبد الله الأصفهانيّ في «رياض العلماء» عن رسالة الجزيرة الخضراء أنّ صاحب الرسالة قال: فقد وجدتُ بخطّ الشيخ الفاضل- إلى آخر الموضوع، و لم يشيرا إلى اسم الواجد و اكتفيا بهذا القدر في الاعتبار. ولكنّ الفاضل الصالح آغاخوند ملّا كاظم هزار جريبي، تلميذ الاستاذ الأكبر العلّامة البهبهانيّ، قال في مناقبه: إن هذه الحكاية منقولة عن خطّ الشيخ الأجلّ الأفضل ... محمّد بن مكّي المشهور بالشهيد كما نقل جمع من المؤمنين التقاة الثقات المعتمدين بلفظ عربيّ.</w:t>
      </w:r>
      <w:r>
        <w:rPr>
          <w:rStyle w:val="FootnoteReference"/>
        </w:rPr>
        <w:footnoteReference w:id="2"/>
      </w:r>
    </w:p>
    <w:p>
      <w:pPr>
        <w:pStyle w:val="ContentNormal_MS_V1"/>
      </w:pPr>
      <w:r>
        <w:rPr>
          <w:rtl w:val="0"/>
          <w:lang w:val="ar-SA"/>
        </w:rPr>
        <w:t xml:space="preserve">إلى أن قال: و أمّا الفضل بن يحيى راوي أصل الحكاية بعده فهو من العلماء المعروفين. قال الشيخ الحرّ: هو فاضل عالم جليل، روى «كشف الغمّة» عن مؤلِّفه عليّ بن عيسى الإربليّ و كتبه بخطّه، و له إجازة منه. سنة ستمائة و إحدى و تسعين - إلى آخر الكلام.</w:t>
      </w:r>
      <w:r>
        <w:rPr>
          <w:rStyle w:val="FootnoteReference"/>
        </w:rPr>
        <w:footnoteReference w:id="3"/>
      </w:r>
    </w:p>
    <w:p>
      <w:pPr>
        <w:pStyle w:val="ContentNormal_MS_V1"/>
      </w:pPr>
      <w:r>
        <w:rPr>
          <w:rtl w:val="0"/>
          <w:lang w:val="ar-SA"/>
        </w:rPr>
        <w:t xml:space="preserve">و أنا أقول: </w:t>
      </w:r>
      <w:r>
        <w:rPr>
          <w:rStyle w:val="ContentBold_MS_V1"/>
          <w:rtl w:val="0"/>
          <w:lang w:val="ar-SA"/>
        </w:rPr>
        <w:t xml:space="preserve">أوّلًا</w:t>
      </w:r>
      <w:r>
        <w:rPr>
          <w:rtl w:val="0"/>
          <w:lang w:val="ar-SA"/>
        </w:rPr>
        <w:t xml:space="preserve">: إن جلالة الفضل بن يحيى و علمه و فضله كلّ ذلك لا يُضفي على الرسالة اعتباراً، لأنّ الرجل الراوي عنه مجهول لا هو نفسه مجهول. و الوضّاع يختلقون الحديث على لسان رجل مشهور و معتمد، لا على لسان كلّ أحد.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ثانياً</w:t>
      </w:r>
      <w:r>
        <w:rPr>
          <w:rtl w:val="0"/>
          <w:lang w:val="ar-SA"/>
        </w:rPr>
        <w:t xml:space="preserve">: لا جَرَمَ أنّ نقل آغا خوند ملّا كاظم هزار جريبي عن جمع من المؤمنين التقاة الثقات الذين رووا رسالة الشهيد غير صحيح، لأنّ الشهيد وُلد سنة ۷٣٤ و استُشهد سنة ۷۸٦، و هو في الثانية و الخمسين من عمره،</w:t>
      </w:r>
      <w:r>
        <w:rPr>
          <w:rStyle w:val="FootnoteReference"/>
        </w:rPr>
        <w:footnoteReference w:id="4"/>
      </w:r>
      <w:r>
        <w:rPr>
          <w:rtl w:val="0"/>
          <w:lang w:val="ar-SA"/>
        </w:rPr>
        <w:t xml:space="preserve"> و ذكر مُنشئ الرسالة أنّه أنشأها سنة ٦٩٩. فالشهيد وُلد بعد حكاية الجزيرة الخضراء بخمس و ثلاثين سنة، فكيف يمكن أن يكون راوياً للرسالة؟! يضاف إلى ذلك أنّنا نجد في نصّ الرسالة موضوعات تخالف الحقيقة.</w:t>
      </w:r>
    </w:p>
    <w:p>
      <w:pPr>
        <w:pStyle w:val="Title1_MS_V1"/>
      </w:pPr>
      <w:r>
        <w:rPr>
          <w:rtl w:val="0"/>
          <w:lang w:val="ar-SA"/>
        </w:rPr>
        <w:t xml:space="preserve">موضوعات خرافة جزيرة الخضراء</w:t>
      </w:r>
    </w:p>
    <w:p>
      <w:pPr>
        <w:pStyle w:val="ContentNormal_MS_V1"/>
      </w:pPr>
      <w:r>
        <w:rPr>
          <w:rtl w:val="0"/>
          <w:lang w:val="ar-SA"/>
        </w:rPr>
        <w:t xml:space="preserve">إذا دقّقنا في مضمون هذه الرسالة تبيّنت لنا موارد تخالف الحقيقة و الواقع لا محالة، و نشير هنا إلى أربعةٍ منها: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الأوّل</w:t>
      </w:r>
      <w:r>
        <w:rPr>
          <w:rtl w:val="0"/>
          <w:lang w:val="ar-SA"/>
        </w:rPr>
        <w:t xml:space="preserve">: يسأل السائل رجلًا من داخل الجزيرة الخضراء فيقول: كيف دخل مذهب الشيعة إليكم؟! و يجيب: دخل عن طريق أبي ذرّ الغفاريّ عندما نفاه عثمان إلى الشام و نفاه معاوية إلى منطقتنا. في حين نحن نعلم أنّ معاوية نفى أبا ذرّ إلى أطراف الشام و فلسطين، أي: إلى منطقة جبل عامل، لا إلى الأندلس. و الأندلس لم تفتح في عهد معاوية بعد، و بينها و بين جبل عامل آلاف الكيلومترات</w:t>
      </w:r>
      <w:r>
        <w:rPr>
          <w:rStyle w:val="FootnoteReference"/>
        </w:rPr>
        <w:footnoteReference w:id="5"/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الثاني</w:t>
      </w:r>
      <w:r>
        <w:rPr>
          <w:rtl w:val="0"/>
          <w:lang w:val="ar-SA"/>
        </w:rPr>
        <w:t xml:space="preserve">: تُصرِّح الرسالة بوضوح أنّ في القرآن الكريم تحريفاً لفظيّاً، و هذا خلاف الحقيقة.</w:t>
      </w:r>
      <w:r>
        <w:rPr>
          <w:rStyle w:val="FootnoteReference"/>
        </w:rPr>
        <w:footnoteReference w:id="6"/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الثالث</w:t>
      </w:r>
      <w:r>
        <w:rPr>
          <w:rtl w:val="0"/>
          <w:lang w:val="ar-SA"/>
        </w:rPr>
        <w:t xml:space="preserve">: يبدو من أوّل الرسالة ص ۱٦٢ أنّ هذا الشخص المسافر إلى الجزيرة كان يدرس في دمشق و هو أعزب، لكن نجد العكس من هذا في ص ۱۷٢. ففيها يقول صاحب الجزيرة له: إنَّكَ ذو عَيالٍ وغِبتَ عنهم مدَّةً مديدةً و لا يجوز التخلُّف عنهم أكثر من هذا!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الرابع</w:t>
      </w:r>
      <w:r>
        <w:rPr>
          <w:rtl w:val="0"/>
          <w:lang w:val="ar-SA"/>
        </w:rPr>
        <w:t xml:space="preserve">: أنَّ عدد امراء الجيش الذي كان يتحرَّك وسط الشهر في يوم الجمعة و يُثير الفوضى على ما قال صاحب الجزيرة ثلاثمائة شخص فيحتاج إلى ثلاثة عشر شخصاً حتى يظهر الإمام.. و لمّا كانت هذه القضيّة وقعت سنة ٦٩٩ فالآن نحن في سنة ۱٤۱٤، و قد مرَّ عليها ۷۱٥ سنة، فكيف لم يكتمل العدد؟! إذا كان اولئك الثلاثمائة شخص كأمثلة لا كأشخاص بأعيانهم، فلماذا ظهر ثلاثمائة فقط خلال ٤۰۰ سنة مرّت على غيبة الإمام و لم يلتحق بهم ثلاثة عشر خلال ۷۱٥ سنة؟! و إذا كانوا أشخاصاً بأعيانهم، فلابدّ أن يضاف إليهم ثلاثة عشر في تلك السنوات بسرعةٍ و يظهر الإمام!</w:t>
      </w:r>
    </w:p>
    <w:p>
      <w:pPr>
        <w:pStyle w:val="ContentNormal_MS_V1"/>
      </w:pPr>
      <w:r>
        <w:rPr>
          <w:rtl w:val="0"/>
          <w:lang w:val="ar-SA"/>
        </w:rPr>
        <w:t xml:space="preserve">قال المرحوم المحدّث النوري رحمه الله: نقل في مجلّد السماء و العالم من «البحار» عن كتاب تقسيم أقاليم الأرض و البلدان لأحد علماء السنّة أنّه قال: «بلد المهديّ» حسنٌ و محكم، بناه المهديّ الفاطميّ و جعل له قلعة، كما جعل له أبواباً من حديد يزيد حديد كلّ باب على مائة قنطار. و لمّا بناه و أحكمه قال: الآن اطمأننتُ على الفاطميّين.</w:t>
      </w:r>
      <w:r>
        <w:rPr>
          <w:rStyle w:val="FootnoteReference"/>
        </w:rPr>
        <w:footnoteReference w:id="7"/>
      </w:r>
    </w:p>
    <w:p>
      <w:pPr>
        <w:pStyle w:val="ContentNormal_MS_V1"/>
      </w:pPr>
      <w:r>
        <w:rPr>
          <w:rtl w:val="0"/>
          <w:lang w:val="ar-SA"/>
        </w:rPr>
        <w:t xml:space="preserve">قال المعلّق على هذا الجزء من كتاب «بحار الأنوار» للمجلسيّ: العالم المتضلّع الخبير الشيخ محمّد باقر البهبوديّ في تعليقه على هذا القسم من الكتاب:</w:t>
      </w:r>
    </w:p>
    <w:p>
      <w:pPr>
        <w:pStyle w:val="ContentNormal_MS_V1"/>
      </w:pPr>
      <w:r>
        <w:rPr>
          <w:rtl w:val="0"/>
          <w:lang w:val="ar-SA"/>
        </w:rPr>
        <w:t xml:space="preserve">هذه قصّة مصنوعة تخيليّة قد سردها كاتبها على رسم القصّاصين. و هذا الرسم معهود في هذا الزمان أيضاً يسمّونه (رمانتيك) و له تأثير عظيم في نفوس القارئين لانجذاب النفوس إليه، فلا بأس به إذا عرف الناس أنّها قصّة تخيليّة!</w:t>
      </w:r>
      <w:r>
        <w:rPr>
          <w:rStyle w:val="FootnoteReference"/>
        </w:rPr>
        <w:footnoteReference w:id="8"/>
      </w:r>
    </w:p>
    <w:p>
      <w:pPr>
        <w:pStyle w:val="ContentNormal_MS_V1"/>
      </w:pPr>
      <w:r>
        <w:rPr>
          <w:rtl w:val="0"/>
          <w:lang w:val="ar-SA"/>
        </w:rPr>
        <w:t xml:space="preserve">و مرّ آية الله المحقّق الخبير الميرزا أبوالحسن الشعرانيّ على هذا الموضوع مشيراً إشارة عابرة إلى أنّه وهم، و ذكره آية الله الشيخ حسن حسن زاده الآمليّ.</w:t>
      </w:r>
      <w:r>
        <w:rPr>
          <w:rStyle w:val="FootnoteReference"/>
        </w:rPr>
        <w:footnoteReference w:id="9"/>
      </w:r>
    </w:p>
    <w:p>
      <w:pPr>
        <w:pStyle w:val="Title1_MS_V1"/>
      </w:pPr>
      <w:r>
        <w:rPr>
          <w:rtl w:val="0"/>
          <w:lang w:val="ar-SA"/>
        </w:rPr>
        <w:t xml:space="preserve">حياة الإمام المهديّ و إمامته أظهر من الشمس‏</w:t>
      </w:r>
    </w:p>
    <w:p>
      <w:pPr>
        <w:pStyle w:val="ContentNormal_MS_V1"/>
      </w:pPr>
      <w:r>
        <w:rPr>
          <w:rtl w:val="0"/>
          <w:lang w:val="ar-SA"/>
        </w:rPr>
        <w:t xml:space="preserve">أجل، إن وجود الإمام المهديّ الحجّة بن الحسن العسكريّ عجّل الله تعالى فرجه الشريف مطلب برهانيّ بدليل العقل من الأحاديث المتواترة المستفيضة الثابتة بإجماع الامّة. فما حاجة الشيعة إلى نقل أدلّة و موضوعات ضعيفة لا شأن لها في كتبهم؟!</w:t>
      </w:r>
    </w:p>
    <w:p>
      <w:pPr>
        <w:pStyle w:val="ContentNormal_MS_V1"/>
      </w:pPr>
      <w:r>
        <w:rPr>
          <w:rtl w:val="0"/>
          <w:lang w:val="ar-SA"/>
        </w:rPr>
        <w:t xml:space="preserve">و هل لهذا الضرب من الروايات، التي تدور حول الجزيرة الخضراء و هي مخالفة للواقع و الحقيقة، إلّا استهزاء المعاندين و الأعداء و سخريتهم بنا؟!</w:t>
      </w:r>
    </w:p>
    <w:p>
      <w:pPr>
        <w:pStyle w:val="ContentNormal_MS_V1"/>
      </w:pPr>
      <w:r>
        <w:rPr>
          <w:rtl w:val="0"/>
          <w:lang w:val="ar-SA"/>
        </w:rPr>
        <w:t xml:space="preserve">و عندما يهتدي الاستاذ الفرنسيّ البروفيسور هنري كوربان المتخصّص في الشؤون الشيعيّة إلى المذهب الشيعيّ بسبب اعتقاده بوجود إمام العصر و الزمان الحيّ فحسب، و يعدّ المذهب المذكور من أكثر المذاهب أصالةً في العالم، و يقيم الدليل العقليّ على ذلك الأساس، فليس لنا أن نتجاوز الاصول العقليّة الثابتة المعتبرة و النقليّة الصحيحة و نُشغل أنفسنا بكلمات مُريبة و حكايات خياليّة.</w:t>
      </w:r>
    </w:p>
    <w:p>
      <w:pPr>
        <w:pStyle w:val="ContentNormal_MS_V1"/>
      </w:pPr>
      <w:r>
        <w:rPr>
          <w:rtl w:val="0"/>
          <w:lang w:val="ar-SA"/>
        </w:rPr>
        <w:t xml:space="preserve">كان سماحة العلّامة استاذنا الأكرم الطباطبائيّ رضوان الله عليه يقول: كان كوربان يعتقد أنّ المذهب الوحيد الذي ظلّ حيّاً أصيلًا لم يمت في العالم هو المذهب الشيعيّ لقوله بوجود الإمام الحيّ، و جعله أساس‏ اعتقاده على هذه الدعامة. فهو حيّ دائماً و أبداً لاتّكائه على المهديّ قائم آل محمّد: محمّد بن الحسن العسكريّ.</w:t>
      </w:r>
    </w:p>
    <w:p>
      <w:pPr>
        <w:pStyle w:val="ContentNormal_MS_V1"/>
      </w:pPr>
      <w:r>
        <w:rPr>
          <w:rtl w:val="0"/>
          <w:lang w:val="ar-SA"/>
        </w:rPr>
        <w:t xml:space="preserve">ذلك أنّ دين اليهود قد مات بموت موسى و دين النصارى قد مات بعروج عيسى. و سائر مذاهب المسلمين بوفاة النبيّ. بَيدَ أنّ الشيعة تذهب إلى أنّ إمامها و صاحب ولايتها المتّصل بعالم المعنى و الإلهامات السماويّة حيّ يُرزق. فما هو إلّا مذهب الشيعة فقط حيّ خالد.</w:t>
      </w:r>
    </w:p>
    <w:p>
      <w:pPr>
        <w:pStyle w:val="ContentNormal_MS_V1"/>
      </w:pPr>
      <w:r>
        <w:rPr>
          <w:rtl w:val="0"/>
          <w:lang w:val="ar-SA"/>
        </w:rPr>
        <w:t xml:space="preserve">كان كوربان قريباً جدّاً إلى التشيّع. و غالباً ما كان يقرا أدعية «الصحيفة المهدويّة» و يبكي.</w:t>
      </w:r>
      <w:r>
        <w:rPr>
          <w:rStyle w:val="FootnoteReference"/>
        </w:rPr>
        <w:footnoteReference w:id="10"/>
      </w:r>
    </w:p>
    <w:p>
      <w:pPr>
        <w:pStyle w:val="ContentNormal_MS_V1"/>
      </w:pPr>
      <w:r>
        <w:rPr>
          <w:rtl w:val="0"/>
          <w:lang w:val="ar-SA"/>
        </w:rPr>
        <w:t xml:space="preserve">أجل، ذكرنا هذا الموضوع كدليل على ما نقول حتى تستبين مسؤوليّة الامّة عامّة حِيال وُضّاع الحديث.</w:t>
      </w:r>
      <w:r>
        <w:rPr>
          <w:rStyle w:val="FootnoteReference"/>
        </w:rPr>
        <w:footnoteReference w:id="11"/>
      </w:r>
    </w:p>
    <w:sectPr w:rsidSect="00541B26">
      <w:footerReference w:type="default" r:id="rId4"/>
      <w:footerReference w:type="first" r:id="rId5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54642975-0FBB-46C4-B613-83D493E696A3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C2EE8BD0-CE60-4234-9EC7-FE3EBC74AE70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88" name="_x0000_i0088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89" name="_x0000_i0089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الآية ۱٥، من السورة ۱۷: الإسراء.</w:t>
      </w:r>
    </w:p>
  </w:footnote>
  <w:footnote w:id="2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«النجم الثاقب» ص ٦٦، الطبعة الحجريّة الرحليّة.</w:t>
      </w:r>
    </w:p>
  </w:footnote>
  <w:footnote w:id="3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«النجم الثاقب» ص ٦۷.</w:t>
      </w:r>
    </w:p>
  </w:footnote>
  <w:footnote w:id="4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«هديّة الأحباب» للمحدّث القمّيّ، ص ۱٦٦ و ۱٦۷.</w:t>
      </w:r>
    </w:p>
  </w:footnote>
  <w:footnote w:id="5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«بحار الأنوار» ج ٥٢، ص ۱۷٣.</w:t>
      </w:r>
    </w:p>
  </w:footnote>
  <w:footnote w:id="6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«بحار الأنوار» ج ٥٢، ص ۱۷۰.</w:t>
        <w:tab/>
      </w:r>
    </w:p>
  </w:footnote>
  <w:footnote w:id="7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«النجم الثاقب» ص ٦۸.</w:t>
      </w:r>
    </w:p>
  </w:footnote>
  <w:footnote w:id="8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«بحار الأنوار» ج ۱٣، ص ۱٤٣ إلي ۱٤۷، طبعة الكمبانيّ، و في الطبعة الحديثة: ج ٥٢، ص ۱٥٩ إلي ۱۷٤. و ذكر الشيخ البهبوديّ هذا الهامش في ص ۱٥٩ من الطبعة الجديدة.</w:t>
      </w:r>
    </w:p>
  </w:footnote>
  <w:footnote w:id="9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مجلة «نور علم» (نور العلم) العددان ٥۰ و ٥۱، الذكري العشرون لوفاة العلّامة الشعرانيّ، ص ۱۸ و ۱٩.</w:t>
      </w:r>
    </w:p>
  </w:footnote>
  <w:footnote w:id="10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val="ar-SA"/>
        </w:rPr>
        <w:t xml:space="preserve"> «مهر تابان» (الشمس الساطعة). في ذكري العلّامة العالم الربّانيّ السيّد محمّد حسين الطباطبائيّ التبريزيّ و حوار التلميذ معه، ص ٤٦ و ٤۷.</w:t>
      </w:r>
    </w:p>
  </w:footnote>
  <w:footnote w:id="11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معرفة الإمام، ج‏۱۷، ص: ٢٥۸.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