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الاعتباريات والحقائق والعلاقة بينهما‏</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الاعتباريات والحقائق والعلاقة بينهما‏</w:t>
      </w:r>
    </w:p>
    <w:p>
      <w:pPr>
        <w:pStyle w:val="Title2_MS_V1"/>
      </w:pPr>
      <w:r>
        <w:rPr>
          <w:rtl w:val="0"/>
          <w:lang w:val="ar-SA"/>
        </w:rPr>
        <w:t xml:space="preserve">تعريف الحقائق والاعتباريّات</w:t>
      </w:r>
    </w:p>
    <w:p>
      <w:pPr>
        <w:pStyle w:val="ContentNormal_MS_V1"/>
      </w:pPr>
      <w:r>
        <w:rPr>
          <w:rtl w:val="0"/>
          <w:lang w:val="ar-SA"/>
        </w:rPr>
        <w:t xml:space="preserve">الحقّائق عبارة عن الواقعيّات الموجودة في الخارج، بما فيها المادّيّات والطبيعيّات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ـ كفوقيّة سطح البيت مثلًا نسبةً إلى ساحته ـ ليست شيئاً غير ذات السطح، فنحن لا نجد شيئاً غير نفس السطح، و غير سقف الغرفة الذي يعلوها باسم فوق، فما هناك هو نفس السطح، لكنّ ذهننا ينتزع من النسبة الخارجيّة بين سقف الغرفة و أرضيّتها عنواناً ندعوه ب فوق.</w:t>
      </w:r>
    </w:p>
    <w:p>
      <w:pPr>
        <w:pStyle w:val="ContentNormal_MS_V1"/>
      </w:pPr>
      <w:r>
        <w:rPr>
          <w:rtl w:val="0"/>
          <w:lang w:val="ar-SA"/>
        </w:rPr>
        <w:t xml:space="preserve">و هذا العنوان محلّه الذهن لا الخارج، ومبدأ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Title1_MS_V1"/>
      </w:pPr>
      <w:r>
        <w:rPr>
          <w:rtl w:val="0"/>
          <w:lang w:val="ar-SA"/>
        </w:rPr>
        <w:t xml:space="preserve">العلاقة بين الاعتباريّات والحقائق</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والإتقان، و كثيراً ما تكون بنفسها منشأ و مبدأ لحقائق كثيرة في الخارج.</w:t>
      </w:r>
    </w:p>
    <w:p>
      <w:pPr>
        <w:pStyle w:val="Title1_MS_V1"/>
      </w:pPr>
      <w:r>
        <w:rPr>
          <w:rtl w:val="0"/>
          <w:lang w:val="ar-SA"/>
        </w:rPr>
        <w:t xml:space="preserve">بيان نشوء بعض الحقائق عن الاعتباريات ونشوء الاعتباريات عن الحقائق بمثالين</w:t>
      </w:r>
    </w:p>
    <w:p>
      <w:pPr>
        <w:pStyle w:val="Title2_MS_V1"/>
      </w:pPr>
      <w:r>
        <w:rPr>
          <w:rtl w:val="0"/>
          <w:lang w:val="ar-SA"/>
        </w:rPr>
        <w:t xml:space="preserve">مثال الأوراق النقديّة</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الأمور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والبساتين، أو العمل و الجهود اليدويّة للعمال و الفلاحين، و كلّ ما يصدق عليه عنوان المال ويمكن حسابه في هيئة العملة الصعبة، و بعد الحساب الدقيق لقيمة العملة الصعبة و أسعار البضائع والذهب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Title2_MS_V1"/>
      </w:pPr>
      <w:r>
        <w:rPr>
          <w:rtl w:val="0"/>
          <w:lang w:val="ar-SA"/>
        </w:rPr>
        <w:t xml:space="preserve">مثال الطوابع البريديّة</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pStyle w:val="ContentNormal_MS_V1"/>
      </w:pPr>
      <w:r>
        <w:rPr>
          <w:rtl w:val="0"/>
          <w:lang w:val="ar-SA"/>
        </w:rPr>
        <w:t xml:space="preserve">ثمّ تقوم هذه الدائرة لتغطية ميزانيّتها الكلّيّة و رواتب موظّفيها و عمّالها و أُجور وسائل الحمل والنقل على اختلافها من الطائرة و السفينة و السيّارة و الدرّاجة الناريّة و الدرّاجة الهوائيّة، و في بعض القرى من البغال و الحيوانات المستعملة للنقل بحساب هذه الأمور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وتثبيت هذه الأسعار و تطبع الطوابع تبعاً لذلك و تبيعها.</w:t>
      </w:r>
    </w:p>
    <w:p>
      <w:pPr>
        <w:pStyle w:val="ContentNormal_MS_V1"/>
      </w:pPr>
      <w:r>
        <w:rPr>
          <w:rtl w:val="0"/>
          <w:lang w:val="ar-SA"/>
        </w:rPr>
        <w:t xml:space="preserve">و حين تستلم دائرة البريد الطرود</w:t>
      </w:r>
      <w:r>
        <w:rPr>
          <w:rStyle w:val="FootnoteReference"/>
        </w:rPr>
        <w:footnoteReference w:id="1"/>
      </w:r>
      <w:r>
        <w:rPr>
          <w:rtl w:val="0"/>
          <w:lang w:val="ar-SA"/>
        </w:rPr>
        <w:t xml:space="preserve">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الأمور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لأنّهم بحكم عقلهم و درايتهم و حسن إدارتهم و صدقهم و أمانتهم‏ لا يملكون أن يطبعوا يوماً ما و لمرّة واحدة طابعاً واحداً بقيمة ريال واحد وأن يقوموا باعتباره من غير داعٍ و سبب، وهم كذلك غير قادرين حتى في مورد واحد أن يقوموا بإبطال طابع واحد بقيمة ريال واحد و إسقاطه من الاعتبار و الختم عليه بالبطلان من غير داعٍ و سبب.</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إنّ كلًّا من هذه المعاني الوهميّة قائمة على حقيقة معيّنة، أي أنّنا حين نضع أيّ حدّ وهميّ لمصداق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2"/>
      </w:r>
      <w:r>
        <w:rPr>
          <w:rtl w:val="0"/>
          <w:lang w:val="ar-SA"/>
        </w:rPr>
        <w:t xml:space="preserve"> </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 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كُلُّ مَا بِالعَرَضِ لَا بُدَّ وَ أنْ يَنْتَهِي إِلَى مَا بِالذَّاتِ. و قاعدة: لِكُلِّ مَجَازٍ حَقِيقَةٌ.</w:t>
      </w:r>
    </w:p>
    <w:p>
      <w:pPr>
        <w:pStyle w:val="ContentNormal_MS_V1"/>
      </w:pPr>
      <w:r>
        <w:rPr>
          <w:rtl w:val="0"/>
          <w:lang w:val="ar-SA"/>
        </w:rPr>
        <w:t xml:space="preserve">ذلك لأنّ فرض موجود عرضيّ قائم بذاتٍ، بدون فرض ذاتٍ محال، و فرض استعمال المجاز و هو الخروج من دائرة الاستعمال الحقيقيّ، بدون فرض وجود الحقيقة محال أيضاً....</w:t>
      </w:r>
      <w:r>
        <w:rPr>
          <w:rStyle w:val="FootnoteReference"/>
        </w:rPr>
        <w:footnoteReference w:id="3"/>
      </w:r>
      <w:r>
        <w:rPr>
          <w:rtl w:val="0"/>
          <w:lang w:val="ar-SA"/>
        </w:rPr>
        <w:t xml:space="preserve"> </w:t>
      </w:r>
    </w:p>
    <w:p>
      <w:pPr>
        <w:pStyle w:val="Title1_MS_V1"/>
      </w:pPr>
      <w:r>
        <w:rPr>
          <w:rtl w:val="0"/>
          <w:lang w:val="ar-SA"/>
        </w:rPr>
        <w:t xml:space="preserve">بيان كيفيّة نشوء الاعتباريات عن الحقائق وضرورة دخالة العقل</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 الذهنيّة، و هذه المسألة أيضاً قد أثبت العلّامة تحقّقها بوضوح.</w:t>
      </w:r>
    </w:p>
    <w:p>
      <w:pPr>
        <w:pStyle w:val="ContentNormal_MS_V1"/>
      </w:pPr>
      <w:r>
        <w:rPr>
          <w:rtl w:val="0"/>
          <w:lang w:val="ar-SA"/>
        </w:rPr>
        <w:t xml:space="preserve">ومع أنّ الحقّائق الخارجيّة التي يعبّر عنها بالمسائل العلميّة و التي تتّخذ لنفسها عنوان "الوجود"، هي غير المسائل الاعتباريّة التي يعبّر عنها بعنوان "الوجوب"، وأنّ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 كلما أوجب زوال الحياة يجب اجتنابه. و نتيجتهما: أنّ تناول السمّ لازم الاجتناب.</w:t>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 </w:t>
      </w:r>
      <w:r>
        <w:rPr>
          <w:rStyle w:val="Quran_MS_V1"/>
          <w:rtl w:val="0"/>
          <w:lang w:val="ar-SA"/>
        </w:rPr>
        <w:t xml:space="preserve">{فِطْرَتَ اللهِ التي فَطَرَ النَّاسَ عَلَيْهَا.}</w:t>
      </w:r>
      <w:r>
        <w:rPr>
          <w:rStyle w:val="FootnoteReference"/>
        </w:rPr>
        <w:footnoteReference w:id="4"/>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5"/>
      </w:r>
      <w:r>
        <w:rPr>
          <w:rtl w:val="0"/>
          <w:lang w:val="ar-SA"/>
        </w:rPr>
        <w:t xml:space="preserve"> </w:t>
      </w:r>
    </w:p>
    <w:p>
      <w:pPr>
        <w:pStyle w:val="Title1_MS_V1"/>
      </w:pPr>
      <w:r>
        <w:rPr>
          <w:rtl w:val="0"/>
          <w:lang w:val="ar-SA"/>
        </w:rPr>
        <w:t xml:space="preserve"> نتيجة البحث وثبات الدين </w:t>
      </w:r>
    </w:p>
    <w:p>
      <w:pPr>
        <w:pStyle w:val="ContentNormal_MS_V1"/>
      </w:pPr>
      <w:r>
        <w:rPr>
          <w:rtl w:val="0"/>
          <w:lang w:val="ar-SA"/>
        </w:rPr>
        <w:t xml:space="preserve">إنّ وجود الإنسان يقوم ويتركّب على أسسٍ وقوانين دقيقةٍ ومجموعةٍ من الظواهر المختلفة والأمور المتنوعة سواءً أكان ذلك في حقيقة الإنسان التي تمثّل نفسه الناطقة أم في جسمه وظاهره الذي يمثّل مرتبةً نازلةً من مراتب تلك النفس؛ </w:t>
      </w:r>
      <w:r>
        <w:rPr>
          <w:rStyle w:val="Quran_MS_V1"/>
          <w:rtl w:val="0"/>
          <w:lang w:val="ar-SA"/>
        </w:rPr>
        <w:t xml:space="preserve">{لَقَد خَلَقنَا ٱلإِنسَٰنَ فِيٓ أَحسَنِ تَقوِيم}</w:t>
      </w:r>
      <w:r>
        <w:rPr>
          <w:rStyle w:val="FootnoteReference"/>
        </w:rPr>
        <w:footnoteReference w:id="6"/>
      </w:r>
      <w:r>
        <w:rPr>
          <w:rtl w:val="0"/>
          <w:lang w:val="ar-SA"/>
        </w:rPr>
        <w:t xml:space="preserve"> . وهذا التركيب هو الذي يُخرج حقيقة النفس الناطقة من حالة وحيثيّة الاستعداد والقوّة إلى حالة وشأنيّة البلوغ والكمال والفعليّة. وقد عُبّر في لسان الشرع عن تلك المجموعة من الظواهر وذلك التركيب بالفِطرة، قال تعالى: </w:t>
      </w:r>
      <w:r>
        <w:rPr>
          <w:rStyle w:val="Quran_MS_V1"/>
          <w:rtl w:val="0"/>
          <w:lang w:val="ar-SA"/>
        </w:rPr>
        <w:t xml:space="preserve">{ فَأَقِم وَجهَكَ لِلدِّينِ حَنِيفا فِطرَتَ ٱللَّهِ ٱلَّتِي فَطَرَ ٱلنَّاسَ عَلَيهَا لَا تَبدِيلَ لِخَلقِ ٱللَّهِ ذَٰلِكَ ٱلدِّينُ ٱلقَيِّمُ وَلَٰكِنَّ أَكثَرَ ٱلنَّاسِ لَا يَعلَمُونَ}</w:t>
      </w:r>
      <w:r>
        <w:rPr>
          <w:rStyle w:val="FootnoteReference"/>
        </w:rPr>
        <w:footnoteReference w:id="7"/>
      </w:r>
      <w:r>
        <w:rPr>
          <w:rtl w:val="0"/>
          <w:lang w:val="ar-SA"/>
        </w:rPr>
        <w:t xml:space="preserve">.</w:t>
      </w:r>
    </w:p>
    <w:p>
      <w:pPr>
        <w:pStyle w:val="ContentNormal_MS_V1"/>
      </w:pPr>
      <w:r>
        <w:rPr>
          <w:rtl w:val="0"/>
          <w:lang w:val="ar-SA"/>
        </w:rPr>
        <w:t xml:space="preserve">ولا شكّ أنَّ هذه الأمور ثابتةٌ ولا تتغيّر، وأنّها من اللوازم التي لا تنفك عن الطّبيعة الإنسانيّة والنّفس النّاطقة للآدميّ، بحيث إنّ ثبوت الموضوع مقتضٍ لثبوتها، كما أنّ نفي هذه اللوازم وعدم وجودها، يكشف عن زوال وانعدام تلك النفس الناطقة، وهذا المعنى هو الّذي أُشير إليه في الآية الشّريفة حين قالت: </w:t>
      </w:r>
      <w:r>
        <w:rPr>
          <w:rStyle w:val="Quran_MS_V1"/>
          <w:rtl/>
          <w:lang w:val="ar-SA"/>
        </w:rPr>
        <w:t xml:space="preserve">{لَا تَبدِيلَ لِخَلقِ ٱللَّهِ}. </w:t>
      </w:r>
    </w:p>
    <w:p>
      <w:pPr>
        <w:pStyle w:val="ContentNormal_MS_V1"/>
      </w:pPr>
      <w:r>
        <w:rPr>
          <w:rtl w:val="0"/>
          <w:lang w:val="ar-SA"/>
        </w:rPr>
        <w:t xml:space="preserve">والدِّين هو نفس الحركة في ظلّ المعايير والمِلاكات الفِطريّة وعدم إهمالها ولو في موطنٍ واحدٍ من المواطن التي أُودعت في الإنسان، وتعبير الآية الشّريفة: </w:t>
      </w:r>
      <w:r>
        <w:rPr>
          <w:rStyle w:val="Quran_MS_V1"/>
          <w:rtl w:val="0"/>
          <w:lang w:val="ar-SA"/>
        </w:rPr>
        <w:t xml:space="preserve">{ذَٰلِكَ ٱلدِّينُ ٱلقَيِّمُ }</w:t>
      </w:r>
      <w:r>
        <w:rPr>
          <w:rtl w:val="0"/>
          <w:lang w:val="ar-SA"/>
        </w:rPr>
        <w:t xml:space="preserve"> يحكي عن هذا المعنى.</w:t>
      </w:r>
    </w:p>
    <w:p>
      <w:pPr>
        <w:pStyle w:val="ContentNormal_MS_V1"/>
      </w:pPr>
      <w:r>
        <w:rPr>
          <w:rtl w:val="0"/>
          <w:lang w:val="ar-SA"/>
        </w:rPr>
        <w:t xml:space="preserve">ومِن هنا، لمّا كانت الفطرة الإنسانيّة ثابتةً لا تتغيّر عمّا هي عليه في أصلِ الخِلقة، فإنّ الدِّين هو الآخر ثابتٌ لا يتغيّر؛ لأنّه يمثّل الكيفيّة لجميع أفعال المكلّفين وحركاتهم وتكاليفهم، أي: ينبغي للقواعد الكليّة العامّة للدِّين وكذلك ينبغي للفروع أن تكون موضوعةً من أجل تحقيق الكمال والفعليّة وفق الحاجة الفطريّة للبشر بواسطة تلك المِلاكات الثابتة التي لا تتغيّر. ولذا تصرِّح الآية الشّريفة الواردة في سورة الشّورى قائلةً:</w:t>
      </w:r>
    </w:p>
    <w:p>
      <w:pPr>
        <w:pStyle w:val="ContentNormal_MS_V1"/>
      </w:pPr>
      <w:r>
        <w:rPr>
          <w:rStyle w:val="Quran_MS_V1"/>
          <w:rtl w:val="0"/>
          <w:lang w:val="ar-SA"/>
        </w:rPr>
        <w:t xml:space="preserve">{شَرَعَ لَكُم مِّنَ ٱلدِّينِ مَا وَصَّىٰ بِهِۦ نُوحا وَٱلَّذِيٓ أَوحَينَآ إِلَيكَ وَمَا وَصَّينَا بِٓه إِبرَٰهِيمَ وَمُوسَىٰ وَعِيسَىٰٓ أَن أَقِيمُواْ ٱلدِّينَ وَلَا تَتَفَرَّقُواْ فِيهِ كَبُرَ عَلَى ٱلمُشرِكِينَ مَا تَدعُوهُم إِلَيِه ٱللَّهُ يَجتَبِيٓ إِلَيهِ مَن يَشَآءُ وَيَهدِيٓ إِلَيهِ مَن يُنِيبُ}</w:t>
      </w:r>
      <w:r>
        <w:rPr>
          <w:rStyle w:val="FootnoteReference"/>
        </w:rPr>
        <w:footnoteReference w:id="8"/>
      </w:r>
    </w:p>
    <w:p>
      <w:pPr>
        <w:pStyle w:val="ContentNormal_MS_V1"/>
      </w:pPr>
      <w:r>
        <w:rPr>
          <w:rtl w:val="0"/>
          <w:lang w:val="ar-SA"/>
        </w:rPr>
        <w:t xml:space="preserve">نعم يُمكن وقوع بعض الاختلافات في بعض فروع الأحكام، ففي سورة المائدة يقول تعالى:</w:t>
      </w:r>
    </w:p>
    <w:p>
      <w:pPr>
        <w:pStyle w:val="ContentNormal_MS_V1"/>
      </w:pPr>
      <w:r>
        <w:rPr>
          <w:rStyle w:val="Quran_MS_V1"/>
          <w:rtl w:val="0"/>
          <w:lang w:val="ar-SA"/>
        </w:rPr>
        <w:t xml:space="preserve">{وَأَنزَلنَا إِلَيكَ الكِتَٰبَ بِالحَقِّ مُصَدِّقا لِّمَا بَيَن يَدَيهِ مِنَ ٱلكِتَٰبِ وَمُهَيمِنًا عَلَيهِ فاحكُم بَينَهُم بِمَا أَنزَلَ ٱللَّهُ وَلَا تَتَّبِع أَهوَآءَهُم عَمَّا جَآءَكَ مِنَ ٱلحَقِّ لِكُلّ جَعَلَنا مِنكُم شِرعَة وَمِنهَاجا وَلَو شَاءَ ٱللَّهُ لَجَعَلَكُم أُمَّة وَٰحِدَة وَلَٰكِن لِّيَبلُوَكُم فِي مَآ ءَاتَىٰكُم فَاستَبِقُواْ الخَيرَٰتِ إِلَى ٱللَّهِ مَرجِعُكُم جَمِيعا فَيُنَبِّئُكُم بِمَا كُنتُم فِيهِ تَختَلِفُونَ}</w:t>
      </w:r>
      <w:r>
        <w:rPr>
          <w:rStyle w:val="FootnoteReference"/>
        </w:rPr>
        <w:footnoteReference w:id="9"/>
      </w:r>
      <w:r>
        <w:rPr>
          <w:rStyle w:val="Quran_MS_V1"/>
          <w:rtl w:val="0"/>
          <w:lang w:val="ar-SA"/>
        </w:rPr>
        <w:t xml:space="preserve">.</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 </w:t>
      </w:r>
      <w:r>
        <w:rPr>
          <w:rStyle w:val="FootnoteReference"/>
        </w:rPr>
        <w:footnoteReference w:id="10"/>
      </w:r>
      <w:r>
        <w:rPr>
          <w:rStyle w:val="Rewayat_MS_V1"/>
          <w:rtl w:val="0"/>
          <w:lang w:val="ar-SA"/>
        </w:rPr>
        <w:t xml:space="preserve"> أَنْبِيَاءَ أَخَذَ عَلَى الْوَحْيِ مِيثَاقَهُمْ‏، وعَلَى تَبْلِيغِ الرِّسَالَةِ أَمَانَتَهُمْ لَمَّا بَدَّلَ أَكْثَرُ خَلْقِهِ عَهْدَ اللَّهِ إِلَيْهِمْ؛ فَجَهِلُوا حَقَّهُ، واتَّخَذُوا الْأَنْدَادَ مَعَهُ، واجْتَالَتْهُمُ</w:t>
      </w:r>
      <w:r>
        <w:rPr>
          <w:rStyle w:val="FootnoteReference"/>
        </w:rPr>
        <w:footnoteReference w:id="11"/>
      </w:r>
      <w:r>
        <w:rPr>
          <w:rStyle w:val="Rewayat_MS_V1"/>
          <w:bCs/>
          <w:rtl/>
          <w:lang w:val="ar-SA"/>
        </w:rPr>
        <w:t xml:space="preserve">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إلخ».</w:t>
      </w:r>
      <w:r>
        <w:rPr>
          <w:rStyle w:val="FootnoteReference"/>
        </w:rPr>
        <w:footnoteReference w:id="12"/>
      </w:r>
      <w:r>
        <w:rPr>
          <w:rStyle w:val="Rewayat_MS_V1"/>
          <w:rtl w:val="0"/>
          <w:lang w:val="ar-SA"/>
        </w:rPr>
        <w:t xml:space="preserve"> ‏</w:t>
      </w:r>
    </w:p>
    <w:p>
      <w:pPr>
        <w:pStyle w:val="ContentNormal_MS_V1"/>
      </w:pPr>
      <w:r>
        <w:rPr>
          <w:rtl w:val="0"/>
          <w:lang w:val="ar-SA"/>
        </w:rPr>
        <w:t xml:space="preserve">ومِن هنا، فلا يمكن أن يتعارض أو يتناقض وجود وبعثة الحجج الإلهيّين ـ الذين يُعبّر عنهم بالعقل المُنفصِل ـ مع المِلاكات الفطريّة للبشر وأصول تلك المباني. وبعبارةٍ أخرى: إنّ انطباق التشريع مع كيفيّة التكوين، هو أصلٌ أوليٌّ وقاعدةٌ أولى مسلّمةٌ مفروغٌ عنها في تدوين الأحكام. </w:t>
      </w:r>
    </w:p>
    <w:p>
      <w:pPr>
        <w:pStyle w:val="ContentNormal_MS_V1"/>
      </w:pPr>
      <w:r>
        <w:rPr>
          <w:rtl w:val="0"/>
          <w:lang w:val="ar-SA"/>
        </w:rPr>
        <w:t xml:space="preserve">وأمّا ما يُقال مِن أنّه: كما أنّ قضيّة الخلق والتكوين منوطةٌ بمشيئة الله وإرادته، فكذلك مسألة التشريع ـ والتي هي عبارة عن جعلٍ من الجاعل واعتبارٍ من المعتبر لنحو التكليف ـ هي الأخرى خاضعةٌ لإرادة الله عزّ وجلّ واختياره، وله الحقّ في أن يعتبر ما يشاء كيف يشاء، سواءً أوافق التكوين أم خالفه، وليس لأحدٍ أن يسأل. فهو قولٌ عارٍ عن الصحّة، ولا يرقى لمرتبة التحقيق.</w:t>
      </w:r>
    </w:p>
    <w:p>
      <w:pPr>
        <w:pStyle w:val="ContentNormal_MS_V1"/>
      </w:pPr>
      <w:r>
        <w:rPr>
          <w:rtl w:val="0"/>
          <w:lang w:val="ar-SA"/>
        </w:rPr>
        <w:t xml:space="preserve">وأمّا معنى الآية الشريفة:</w:t>
      </w:r>
      <w:r>
        <w:rPr>
          <w:rStyle w:val="Quran_MS_V1"/>
          <w:rtl w:val="0"/>
          <w:lang w:val="ar-SA"/>
        </w:rPr>
        <w:t xml:space="preserve"> {لَا يُسئَلُ عَمَّا يَفعَلُ وَهُم يُسئلُونَ}</w:t>
      </w:r>
      <w:r>
        <w:rPr>
          <w:rStyle w:val="FootnoteReference"/>
        </w:rPr>
        <w:footnoteReference w:id="13"/>
      </w:r>
      <w:r>
        <w:rPr>
          <w:rtl w:val="0"/>
          <w:lang w:val="ar-SA"/>
        </w:rPr>
        <w:t xml:space="preserve"> ، فهو أنّ مسؤوليّة الإجابة على الأفعال هي على عهدة المكلّفين، وليست على عهدة حضرة الحقّ؛ لأنّ مقام المُكلّف في قبال التكليف هو مقام الاختيار والانتخاب، أمّا مقام إرادة حضرة الحقّ عزّ وجلّ ومشيئته وفعله، فلا يقتضي أن يختار سبحانه أحدَ طرفي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هي أمورٌ منتزعة ومنبعثة من نفس فعليّة أفعال الحقّ عزّ وجلّ، بعكس أفعال المكلّفين وتصرّفاتهم.</w:t>
      </w:r>
      <w:r>
        <w:rPr>
          <w:rStyle w:val="FootnoteReference"/>
        </w:rPr>
        <w:footnoteReference w:id="14"/>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أيُّ مقتضٍ يقتضي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في الكتاب المبين: </w:t>
      </w:r>
      <w:r>
        <w:rPr>
          <w:rStyle w:val="Quran_MS_V1"/>
          <w:rtl w:val="0"/>
          <w:lang w:val="ar-SA"/>
        </w:rPr>
        <w:t xml:space="preserve">{قَالَ فَمَن رَّبُّكُمَا يَٰمُوسَىٰ ، قَالَ رَبُّنَا ٱلَّذِيٓ أَعطَىٰ كُلَّ شَيءٍ خَلقَهُۥ ثُمَّ هَدَىٰ}</w:t>
      </w:r>
      <w:r>
        <w:rPr>
          <w:rtl w:val="0"/>
          <w:lang w:val="ar-SA"/>
        </w:rPr>
        <w:t xml:space="preserve">.</w:t>
      </w:r>
      <w:r>
        <w:rPr>
          <w:rStyle w:val="FootnoteReference"/>
        </w:rPr>
        <w:footnoteReference w:id="15"/>
      </w:r>
      <w:r>
        <w:rPr>
          <w:rtl w:val="0"/>
          <w:lang w:val="ar-SA"/>
        </w:rPr>
        <w:t xml:space="preserve"> أو الآية الشّريفة: </w:t>
      </w:r>
      <w:r>
        <w:rPr>
          <w:rStyle w:val="Quran_MS_V1"/>
          <w:rtl w:val="0"/>
          <w:lang w:val="ar-SA"/>
        </w:rPr>
        <w:t xml:space="preserve">{ مَّا مِن دَآبَّةٍ إِلَّا هُوَ ءَاخِذُ بِنَاصِيَتِهَآ إِنَّ رَبِّي عَلَىٰ صِرَٰط مُّستَقِيم}</w:t>
      </w:r>
      <w:r>
        <w:rPr>
          <w:rtl w:val="0"/>
          <w:lang w:val="ar-SA"/>
        </w:rPr>
        <w:t xml:space="preserve">.</w:t>
      </w:r>
      <w:r>
        <w:rPr>
          <w:rStyle w:val="FootnoteReference"/>
        </w:rPr>
        <w:footnoteReference w:id="16"/>
      </w:r>
      <w:r>
        <w:rPr>
          <w:rtl w:val="0"/>
          <w:lang w:val="ar-SA"/>
        </w:rPr>
        <w:t xml:space="preserve"> أو الآية الشّريفة: </w:t>
      </w:r>
      <w:r>
        <w:rPr>
          <w:rStyle w:val="Quran_MS_V1"/>
          <w:rtl/>
          <w:lang w:val="ar-SA"/>
        </w:rPr>
        <w:t xml:space="preserve">{ قُل أَغَيرَ ٱللَّهِ أَتَّخِذُ وَلِيّا فَاطِرِ ٱلسَّمَٰوَٰتِ وَٱلأَرضِ وَهُوَ يُطعِمُ وَلَا يُطعَمُ قُل إِنِّيٓ أُمِرتُ أَن أَكُونَ أَوَّلَ مَن أَسلَمَ وَلَا تَكُونَنَّ مِنَ ٱلمُشرِكِينَ}.</w:t>
      </w:r>
      <w:r>
        <w:rPr>
          <w:rStyle w:val="FootnoteReference"/>
        </w:rPr>
        <w:footnoteReference w:id="17"/>
      </w:r>
      <w:r>
        <w:rPr>
          <w:rStyle w:val="Quran_MS_V1"/>
          <w:rtl w:val="0"/>
          <w:lang w:val="ar-SA"/>
        </w:rPr>
        <w:t xml:space="preserve"> </w:t>
      </w:r>
    </w:p>
    <w:p>
      <w:pPr>
        <w:pStyle w:val="ContentNormal_MS_V1"/>
      </w:pPr>
      <w:r>
        <w:rPr>
          <w:rtl w:val="0"/>
          <w:lang w:val="ar-SA"/>
        </w:rPr>
        <w:t xml:space="preserve">وبالتالي، فليس هناك إمكانيّة لأن تتخلّف الأحكام عمّا تقتضيه الخلقة والتكوين، وقطعًا ينبغي أن تكون نشأةُ جعلِ الأحكام التكليفيّة والوضعيّة وإنشائها ـ مِن ناحية اعتبارها وجعلها ـ منتزعةً من حيثيّة التكوين ونشأة الخلق؛ وذلك لكي يصبح بإمكانها أن تستوجب حصول الفعليّات والبلوغ إلى غايات العالم. </w:t>
      </w:r>
    </w:p>
    <w:p>
      <w:pPr>
        <w:pStyle w:val="ContentNormal_MS_V1"/>
      </w:pPr>
      <w:r>
        <w:rPr>
          <w:rtl w:val="0"/>
          <w:lang w:val="ar-SA"/>
        </w:rPr>
        <w:t xml:space="preserve">ومع ملاحظة هذا الأمر، فإنّ السبيل والطريق الذي يمكن أن يكون موصلًا إلى هذه الغاية، والذي يمكن له أن يكون مقدّمةً لحصول هذا الغرض، هو ذلك الطريق الذي لا يتنافى أو يتعارض مع غاية الفعل وغرضه، وكلّ أمرٍ مرضيٍّ للّه عزّ وجلّ وموافق لاختياره، فهو يكتسب قطعًا حيثيّة المُقدِّمِيّة والقدرة على الإيصال.</w:t>
      </w:r>
    </w:p>
    <w:p>
      <w:pPr>
        <w:pStyle w:val="ContentNormal_MS_V1"/>
      </w:pPr>
      <w:r>
        <w:rPr>
          <w:rtl w:val="0"/>
          <w:lang w:val="ar-SA"/>
        </w:rPr>
        <w:t xml:space="preserve">وأمّا ما يُقال: مِن أنّ الطريق قد يكون موصلًا إلى الواقع ونفس الأمر، ولكنّه مع ذلك غير مرضيٍّ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أيّ نوعٍ من التعلّق بالحيثيّة التكوينيّة، وبدون أن يكون منطبقًا وموافقًا لحيثيّة الخلق عند المكلّفين في ظروفهم المختلفة وحين صيرورتهم موضوعاتٍ لأحكام شرعيّة مغايرة.</w:t>
      </w:r>
      <w:r>
        <w:rPr>
          <w:rStyle w:val="FootnoteReference"/>
        </w:rPr>
        <w:footnoteReference w:id="18"/>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«نظرة على مقالة بسط وقبض نظرية الشريعة»</w:t>
        </w:r>
      </w:hyperlink>
      <w:r>
        <w:rPr>
          <w:rtl w:val="0"/>
          <w:lang w:val="ar-SA"/>
        </w:rPr>
        <w:t xml:space="preserve"> لسماحة آية الله العلامة السيّد محمّد الحسين الحسينيّ الطهراني رضوان الله عليه، وكتابي </w:t>
      </w:r>
      <w:hyperlink r:id="rId5" w:history="1">
        <w:r>
          <w:rPr>
            <w:rStyle w:val="Hyperlink"/>
          </w:rPr>
          <w:t xml:space="preserve">«طهارة الإنسان»</w:t>
        </w:r>
      </w:hyperlink>
      <w:r>
        <w:rPr>
          <w:rtl w:val="0"/>
          <w:lang w:val="ar-SA"/>
        </w:rPr>
        <w:t xml:space="preserve"> و</w:t>
      </w:r>
      <w:hyperlink r:id="rId6" w:history="1">
        <w:r>
          <w:rPr>
            <w:rStyle w:val="Hyperlink"/>
          </w:rPr>
          <w:t xml:space="preserve">«أسرار الملكوت»</w:t>
        </w:r>
      </w:hyperlink>
      <w:r>
        <w:rPr>
          <w:rtl w:val="0"/>
          <w:lang w:val="ar-SA"/>
        </w:rPr>
        <w:t xml:space="preserve"> لسماحة الآية الله السيّد محمّد محسن الحسيني الطهراني حفظه الله، وقد قامت الهيئة العلميّة بمراجعة النص ومقابلته مع أصله عند الضرورة، وجعلت الإضافات البيانيّة والتحقيقيّة بين معقوفتين]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C3E8839-77CC-4BC7-82D9-5FACBA6308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5EE274-93EF-4467-8850-0A26886F30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[الطرد: ما يُرْسَلُ من البضاعة وغيرها في البريد ونحوه من ناحيةٍ إِلى أخرى وهو في الأَصل مصدرٌ ثم أُطْلِقَ عَلَى المَطْرُودِ].</w:t>
      </w:r>
    </w:p>
  </w:footnote>
  <w:footnote w:id="2">
    <w:p>
      <w:pPr>
        <w:pStyle w:val="FNNormal_MS_V1"/>
      </w:pPr>
      <w:r>
        <w:rPr>
          <w:rStyle w:val="FootnoteReference"/>
        </w:rPr>
        <w:footnoteRef/>
      </w:r>
      <w:r>
        <w:t xml:space="preserve"> </w:t>
      </w:r>
      <w:r>
        <w:rPr>
          <w:rtl w:val="0"/>
          <w:lang w:val="ar-SA"/>
        </w:rPr>
        <w:t xml:space="preserve"> «أُصول فلسفه» ج ٢، ص ۱٥۱.</w:t>
      </w:r>
    </w:p>
  </w:footnote>
  <w:footnote w:id="3">
    <w:p>
      <w:pPr>
        <w:pStyle w:val="FNNormal_MS_V1"/>
      </w:pPr>
      <w:r>
        <w:rPr>
          <w:rStyle w:val="FootnoteReference"/>
        </w:rPr>
        <w:footnoteRef/>
      </w:r>
      <w:r>
        <w:t xml:space="preserve"> </w:t>
      </w:r>
      <w:r>
        <w:rPr>
          <w:rtl/>
          <w:lang w:val="ar-SA"/>
        </w:rPr>
        <w:t xml:space="preserve"> [نظرة على مقالة بسط و قبض نظرية الشريعة، ص: ٣۰٢ ـ ٣۰٩ ].</w:t>
      </w:r>
    </w:p>
  </w:footnote>
  <w:footnote w:id="4">
    <w:p>
      <w:pPr>
        <w:pStyle w:val="FNNormal_MS_V1"/>
      </w:pPr>
      <w:r>
        <w:rPr>
          <w:rStyle w:val="FootnoteReference"/>
        </w:rPr>
        <w:footnoteRef/>
      </w:r>
      <w:r>
        <w:t xml:space="preserve"> </w:t>
      </w:r>
      <w:r>
        <w:rPr>
          <w:rtl w:val="0"/>
          <w:lang w:val="ar-SA"/>
        </w:rPr>
        <w:t xml:space="preserve"> مقطع من الآية ٣۰ من السورة ٣۰ الروم.</w:t>
      </w:r>
    </w:p>
  </w:footnote>
  <w:footnote w:id="5">
    <w:p>
      <w:pPr>
        <w:pStyle w:val="FNNormal_MS_V1"/>
      </w:pPr>
      <w:r>
        <w:rPr>
          <w:rStyle w:val="FootnoteReference"/>
        </w:rPr>
        <w:footnoteRef/>
      </w:r>
      <w:r>
        <w:t xml:space="preserve"> </w:t>
      </w:r>
      <w:r>
        <w:rPr>
          <w:rtl/>
          <w:lang w:val="ar-SA"/>
        </w:rPr>
        <w:t xml:space="preserve"> [نظرة على مقالة بسط و قبض نظرية الشريعة، ص: ٣۰٩].</w:t>
      </w:r>
    </w:p>
  </w:footnote>
  <w:footnote w:id="6">
    <w:p>
      <w:pPr>
        <w:pStyle w:val="FNNormal_MS_V1"/>
      </w:pPr>
      <w:r>
        <w:rPr>
          <w:rStyle w:val="FootnoteReference"/>
        </w:rPr>
        <w:footnoteRef/>
      </w:r>
      <w:r>
        <w:t xml:space="preserve"> </w:t>
      </w:r>
      <w:r>
        <w:rPr>
          <w:rtl w:val="0"/>
          <w:lang w:val="ar-SA"/>
        </w:rPr>
        <w:t xml:space="preserve"> سورة التين (٩٥) ، الآية ٤. </w:t>
      </w:r>
    </w:p>
  </w:footnote>
  <w:footnote w:id="7">
    <w:p>
      <w:pPr>
        <w:pStyle w:val="FNNormal_MS_V1"/>
      </w:pPr>
      <w:r>
        <w:rPr>
          <w:rStyle w:val="FootnoteReference"/>
        </w:rPr>
        <w:footnoteRef/>
      </w:r>
      <w:r>
        <w:t xml:space="preserve"> </w:t>
      </w:r>
      <w:r>
        <w:rPr>
          <w:rtl w:val="0"/>
          <w:lang w:val="ar-SA"/>
        </w:rPr>
        <w:t xml:space="preserve"> سور الروم (٣۰) ، الآية ٣۰. </w:t>
      </w:r>
    </w:p>
  </w:footnote>
  <w:footnote w:id="8">
    <w:p>
      <w:pPr>
        <w:pStyle w:val="FNNormal_MS_V1"/>
      </w:pPr>
      <w:r>
        <w:rPr>
          <w:rStyle w:val="FootnoteReference"/>
        </w:rPr>
        <w:footnoteRef/>
      </w:r>
      <w:r>
        <w:t xml:space="preserve"> </w:t>
      </w:r>
      <w:r>
        <w:rPr>
          <w:rtl w:val="0"/>
          <w:lang w:val="ar-SA"/>
        </w:rPr>
        <w:t xml:space="preserve"> سورة الشورى (٤٢) ، الآية ۱٣. </w:t>
      </w:r>
    </w:p>
  </w:footnote>
  <w:footnote w:id="9">
    <w:p>
      <w:pPr>
        <w:pStyle w:val="FNNormal_MS_V1"/>
      </w:pPr>
      <w:r>
        <w:rPr>
          <w:rStyle w:val="FootnoteReference"/>
        </w:rPr>
        <w:footnoteRef/>
      </w:r>
      <w:r>
        <w:t xml:space="preserve"> </w:t>
      </w:r>
      <w:r>
        <w:rPr>
          <w:rtl w:val="0"/>
          <w:lang w:val="ar-SA"/>
        </w:rPr>
        <w:t xml:space="preserve"> سورة المائدة (٥) ، الآية ٤۸. </w:t>
      </w:r>
    </w:p>
  </w:footnote>
  <w:footnote w:id="10">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 (م)</w:t>
      </w:r>
    </w:p>
  </w:footnote>
  <w:footnote w:id="11">
    <w:p>
      <w:pPr>
        <w:pStyle w:val="FNNormal_MS_V1"/>
      </w:pPr>
      <w:r>
        <w:rPr>
          <w:rStyle w:val="FootnoteReference"/>
        </w:rPr>
        <w:footnoteRef/>
      </w:r>
      <w:r>
        <w:t xml:space="preserve"> </w:t>
      </w:r>
      <w:r>
        <w:rPr>
          <w:rtl w:val="0"/>
          <w:lang w:val="ar-SA"/>
        </w:rPr>
        <w:t xml:space="preserve"> اجتالتهم: صرفتهم عن قصدهم. (م)</w:t>
      </w:r>
    </w:p>
  </w:footnote>
  <w:footnote w:id="12">
    <w:p>
      <w:pPr>
        <w:pStyle w:val="FNNormal_MS_V1"/>
      </w:pPr>
      <w:r>
        <w:rPr>
          <w:rStyle w:val="FootnoteReference"/>
        </w:rPr>
        <w:footnoteRef/>
      </w:r>
      <w:r>
        <w:t xml:space="preserve"> </w:t>
      </w:r>
      <w:r>
        <w:rPr>
          <w:rtl w:val="0"/>
          <w:lang w:val="ar-SA"/>
        </w:rPr>
        <w:t xml:space="preserve"> نهج البلاغة (محمّد عبده) ، ج۱، ص٢٣، الخطبة۱.</w:t>
      </w:r>
    </w:p>
  </w:footnote>
  <w:footnote w:id="13">
    <w:p>
      <w:pPr>
        <w:pStyle w:val="FNNormal_MS_V1"/>
      </w:pPr>
      <w:r>
        <w:rPr>
          <w:rStyle w:val="FootnoteReference"/>
        </w:rPr>
        <w:footnoteRef/>
      </w:r>
      <w:r>
        <w:t xml:space="preserve"> </w:t>
      </w:r>
      <w:r>
        <w:rPr>
          <w:rtl w:val="0"/>
          <w:lang w:val="ar-SA"/>
        </w:rPr>
        <w:t xml:space="preserve"> سورة الأنبياء (٢۱) ، الآية ٢٣. </w:t>
      </w:r>
    </w:p>
  </w:footnote>
  <w:footnote w:id="14">
    <w:p>
      <w:pPr>
        <w:pStyle w:val="FNNormal_MS_V1"/>
      </w:pPr>
      <w:r>
        <w:rPr>
          <w:rStyle w:val="FootnoteReference"/>
        </w:rPr>
        <w:footnoteRef/>
      </w:r>
      <w:r>
        <w:t xml:space="preserve"> </w:t>
      </w:r>
      <w:r>
        <w:rPr>
          <w:rtl w:val="0"/>
          <w:lang w:val="ar-SA"/>
        </w:rPr>
        <w:t xml:space="preserve"> قال سماحة السيد محمّد محسن في توضيح هذا الموضوع في كتابه أسرار الملكوت ج٢، ص ٣٣۱ـ ٣٣٤: إنّ ذات الحقّ تعالى ليست بحاجةٍ إلى التفكّر والتأمّل وإعمال الرويّة في فعلها وخلقها للحوادث، كما أنّ أفعاله لا تقوم على أساس تطابقها مع المصالح الواقعيّة، بل المصلحة تأتي في مرحلةٍ متأخّرةٍ عن فعل الحقّ وخلقه لا في مرحلةٍ متقدّمةٍ. وبعبارةٍ أخرى نقول: إنّ المصلحة في أعمالنا وأفعالنا نحن تأتي بعنوان العلّة الغائيّة لهذه الأفعال، إلّا أنّها في أفعال الباري ليس لها علّية بل هي تقع معلولةً لفعل الحقّ، ففعل الحقّ هو العلّة الموجدة للمصلحة، لا أنّ المصلحة هي العلّة الموجدة لفعله وإرادته تعالى.</w:t>
      </w:r>
    </w:p>
    <w:p>
      <w:pPr>
        <w:pStyle w:val="FNNormal_MS_V1"/>
      </w:pPr>
      <w:r>
        <w:rPr>
          <w:rtl w:val="0"/>
          <w:lang w:val="ar-SA"/>
        </w:rPr>
        <w:t xml:space="preserve">وإذا أردنا أن نضـرب مِثالًا تقريبـيًّا لهذه المسألة في حدود أفعالنا وتصـرّفاتنا نأخذ مثال اليد وحركتها التي هي معلولةٌ لإرادة الإنسان ومشيئته. فعندما يريد الإنسان أن يأخذ شيئًا، فإنّه يحرّك يده فيأخذ ذلك الشيء. في هذا المثال نقول: لا تُعتبر نفس حركة اليد علّةً غائيّةً للإنسان، بل إنّ العلّة الغائية له هي أخذ ذاك الشيء المراد أخذه باليد، وحركة اليد في هذه الحالة عبارةٌ عن أمرٍ معلولٍ لإرادة الإنسان واختياره، فإذا لم يُردْ الإنسان أن يأخذ ذلك الشيء، فلن تتحرّك يده نحوه أبدًا.</w:t>
      </w:r>
    </w:p>
    <w:p>
      <w:pPr>
        <w:pStyle w:val="FNNormal_MS_V1"/>
      </w:pPr>
      <w:r>
        <w:rPr>
          <w:rtl w:val="0"/>
          <w:lang w:val="ar-SA"/>
        </w:rPr>
        <w:t xml:space="preserve">ولكن في بعض الأحيان تُعتبر نفس حركة اليد علّةً غائيّةً، كما إذا أراد الإنسان أن يرى يده هل تتحرّك أو لا، فقام ـ لاكتشاف هذا الأمر ـ بتحريك يده، ففي هذه الحالة صارت حركة اليد علّةً غائيّةً للحركة، بعكس الفرض الأول حيث كانت معلولةً لها.</w:t>
      </w:r>
    </w:p>
    <w:p>
      <w:pPr>
        <w:pStyle w:val="FNNormal_MS_V1"/>
      </w:pPr>
      <w:r>
        <w:rPr>
          <w:rtl w:val="0"/>
          <w:lang w:val="ar-SA"/>
        </w:rPr>
        <w:t xml:space="preserve">إنّ مسألة المصلحة في فعل الحقّ هي من قبيل مسألة الحركة في الفرض الأوّل، بمعنى أنّ المصلحة ليست علّةً غائيّةً لفعل الحقّ بل هي معلولةٌ له. أمّا نحن، فنتصوّر أن الحقّ تعالى قد خلق الأشياء على أساس المصلحة والانطباق على الواقع، وهذا غلطٌ.... فالحقّ تعالى قد خلق عالم الوجود لا لأجل أنّه شعر بوجود مصلحةٍ وفائدةٍ في عالم الوجود فخلقَ الكائنات من أجل الوصول إلى تلك المصلحة والفائدة، بل بسبب أنّ جميع عالم الوجود وتمام آثاره ناشئة من وجوده، وذاتُه هي التي تفيض الوجود على المراتب التي دون مرتبة ذات الحقّ؛ إذن فالغاية والعلّة لوجود المخلوقات عبارةٌ عن ذات الحقّ تعالى، لا شيءٌ آخر خارج عن ذاته. وكل من يكون فاعليّته لخلق شيءٍ آخر وإيجاده على هذا النحو، فهو فاعل هذا الشـيء وهو غايته ومقصده...</w:t>
      </w:r>
    </w:p>
    <w:p>
      <w:pPr>
        <w:pStyle w:val="FNNormal_MS_V1"/>
      </w:pPr>
      <w:r>
        <w:rPr>
          <w:rtl w:val="0"/>
          <w:lang w:val="ar-SA"/>
        </w:rPr>
        <w:t xml:space="preserve">وقد ورد في الحديث القدسي:</w:t>
      </w:r>
    </w:p>
    <w:p>
      <w:pPr>
        <w:pStyle w:val="FNNormal_MS_V1"/>
      </w:pPr>
      <w:r>
        <w:rPr>
          <w:rStyle w:val="Rewayat_MS_V1"/>
          <w:rtl w:val="0"/>
          <w:lang w:val="ar-SA"/>
        </w:rPr>
        <w:t xml:space="preserve">«يا ابن آدم خلقت الأشياء لأجلك </w:t>
      </w:r>
      <w:r>
        <w:rPr>
          <w:rtl w:val="0"/>
          <w:lang w:val="ar-SA"/>
        </w:rPr>
        <w:t xml:space="preserve">(كي تصل إلى الكمال) </w:t>
      </w:r>
      <w:r>
        <w:rPr>
          <w:rStyle w:val="Rewayat_MS_V1"/>
          <w:rtl w:val="0"/>
          <w:lang w:val="ar-SA"/>
        </w:rPr>
        <w:t xml:space="preserve">وخلقتك لأجلي </w:t>
      </w:r>
      <w:r>
        <w:rPr>
          <w:rtl w:val="0"/>
          <w:lang w:val="ar-SA"/>
        </w:rPr>
        <w:t xml:space="preserve">(كي أرى فيك وجود ذاتي وآثارها)</w:t>
      </w:r>
      <w:r>
        <w:rPr>
          <w:rStyle w:val="Rewayat_MS_V1"/>
          <w:rtl w:val="0"/>
          <w:lang w:val="ar-SA"/>
        </w:rPr>
        <w:t xml:space="preserve">»</w:t>
      </w:r>
      <w:r>
        <w:rPr>
          <w:rtl/>
          <w:lang w:val="ar-SA"/>
        </w:rPr>
        <w:t xml:space="preserve"> (انظر: شرح الأسماء الحسنى (للسبزواري) ، ج ۱، ص ۱٣٩؛ كلمة الله، ص ۱٦٩ ، ؛ معرفة الله (للعلّامة الطهراني) ، ج ۱، ص ۱٩۰).</w:t>
      </w:r>
    </w:p>
    <w:p>
      <w:pPr>
        <w:pStyle w:val="FNNormal_MS_V1"/>
      </w:pPr>
      <w:r>
        <w:rPr>
          <w:rtl w:val="0"/>
          <w:lang w:val="ar-SA"/>
        </w:rPr>
        <w:t xml:space="preserve">وبناءً على ذلك، فمسألة الغاية تختلف عن مسألة تطبيق الفعل على أساس المصلحة، فالمصلحة بالمعنى المذكور منتفية في حقّ أفعال الباري تعالى، ومع ذلك، فإنّ لأفعاله غاية وهدفًا.</w:t>
      </w:r>
    </w:p>
  </w:footnote>
  <w:footnote w:id="15">
    <w:p>
      <w:pPr>
        <w:pStyle w:val="FNNormal_MS_V1"/>
      </w:pPr>
      <w:r>
        <w:rPr>
          <w:rStyle w:val="FootnoteReference"/>
        </w:rPr>
        <w:footnoteRef/>
      </w:r>
      <w:r>
        <w:t xml:space="preserve"> </w:t>
      </w:r>
      <w:r>
        <w:rPr>
          <w:rtl w:val="0"/>
          <w:lang w:val="ar-SA"/>
        </w:rPr>
        <w:t xml:space="preserve"> سورة طه (٢۰) ، الآيتان ٤٩ و٥۰.</w:t>
      </w:r>
    </w:p>
  </w:footnote>
  <w:footnote w:id="16">
    <w:p>
      <w:pPr>
        <w:pStyle w:val="FNNormal_MS_V1"/>
      </w:pPr>
      <w:r>
        <w:rPr>
          <w:rStyle w:val="FootnoteReference"/>
        </w:rPr>
        <w:footnoteRef/>
      </w:r>
      <w:r>
        <w:t xml:space="preserve"> </w:t>
      </w:r>
      <w:r>
        <w:rPr>
          <w:rtl w:val="0"/>
          <w:lang w:val="ar-SA"/>
        </w:rPr>
        <w:t xml:space="preserve"> سورة هود (۱۱) ، ذيل الآية ٥٦.</w:t>
      </w:r>
    </w:p>
  </w:footnote>
  <w:footnote w:id="17">
    <w:p>
      <w:pPr>
        <w:pStyle w:val="FNNormal_MS_V1"/>
      </w:pPr>
      <w:r>
        <w:rPr>
          <w:rStyle w:val="FootnoteReference"/>
        </w:rPr>
        <w:footnoteRef/>
      </w:r>
      <w:r>
        <w:t xml:space="preserve"> </w:t>
      </w:r>
      <w:r>
        <w:rPr>
          <w:rtl w:val="0"/>
          <w:lang w:val="ar-SA"/>
        </w:rPr>
        <w:t xml:space="preserve"> سورة الأنعام (٦) ، الآية ۱٤.</w:t>
      </w:r>
    </w:p>
  </w:footnote>
  <w:footnote w:id="18">
    <w:p>
      <w:pPr>
        <w:pStyle w:val="FNNormal_MS_V1"/>
      </w:pPr>
      <w:r>
        <w:rPr>
          <w:rStyle w:val="FootnoteReference"/>
        </w:rPr>
        <w:footnoteRef/>
      </w:r>
      <w:r>
        <w:t xml:space="preserve"> </w:t>
      </w:r>
      <w:r>
        <w:rPr>
          <w:rtl/>
          <w:lang w:val="ar-SA"/>
        </w:rPr>
        <w:t xml:space="preserve"> [آية الله السيّد محمّد محسن الحسيني الطهراني، طهارة الإنسان، المقدّمة].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106/%D8%B7%D9%87%D8%A7%D8%B1%D8%A9-%D8%A7%D9%84%D8%A7%D9%86%D8%B3%D8%A7%D9%86" TargetMode="External" /><Relationship Id="rId6" Type="http://schemas.openxmlformats.org/officeDocument/2006/relationships/hyperlink" Target="https://madrasatalwahy.org/Document/Book/Details/10083/%D8%A7%D8%B3%D8%B1%D8%A7%D8%B1-%D8%A7%D9%84%D9%85%D9%84%D9%83%D9%88%D8%AA-%D8%AC1"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