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هُوَ الحُبُ‏</w:t>
      </w:r>
    </w:p>
    <w:p>
      <w:pPr>
        <w:pStyle w:val="Besm_MS_V1"/>
      </w:pPr>
      <w:r>
        <w:rPr>
          <w:rtl w:val="0"/>
          <w:lang w:val="ar-SA"/>
        </w:rPr>
        <w:t xml:space="preserve">أبيات من لاميّة ابن الفارض في ضرورة المجاهدة للقاء الله تعالى‏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 w:rsidSect="00541B26">
      <w:footerReference w:type="default" r:id="rId3"/>
      <w:footerReference w:type="first" r:id="rId4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75F4994F-3129-4CFA-BE08-D89E727291EE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148BA98D-0504-47CB-B5A5-18D3EDEC407A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